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908AC6" w14:textId="77777777" w:rsidR="002F0144" w:rsidRPr="00B9543B" w:rsidRDefault="002F0144" w:rsidP="00122AE6">
      <w:pPr>
        <w:rPr>
          <w:lang w:val="fr-FR"/>
        </w:rPr>
      </w:pPr>
      <w:bookmarkStart w:id="0" w:name="_Toc309726067"/>
      <w:bookmarkStart w:id="1" w:name="_GoBack"/>
      <w:bookmarkEnd w:id="1"/>
      <w:r w:rsidRPr="00B9543B">
        <w:rPr>
          <w:lang w:val="fr-FR"/>
        </w:rPr>
        <w:t>[fresh page][cn]</w:t>
      </w:r>
      <w:r w:rsidRPr="00B9543B">
        <w:rPr>
          <w:sz w:val="32"/>
          <w:szCs w:val="32"/>
          <w:lang w:val="fr-FR"/>
        </w:rPr>
        <w:t>15</w:t>
      </w:r>
      <w:r w:rsidRPr="00B9543B">
        <w:rPr>
          <w:lang w:val="fr-FR"/>
        </w:rPr>
        <w:t>[ct]</w:t>
      </w:r>
      <w:r w:rsidRPr="00B9543B">
        <w:rPr>
          <w:sz w:val="32"/>
          <w:szCs w:val="32"/>
          <w:lang w:val="fr-FR"/>
        </w:rPr>
        <w:t>Financial fragility</w:t>
      </w:r>
      <w:bookmarkEnd w:id="0"/>
    </w:p>
    <w:p w14:paraId="37287EA2" w14:textId="77777777" w:rsidR="002F0144" w:rsidRPr="00B9543B" w:rsidRDefault="002F0144" w:rsidP="00122AE6">
      <w:pPr>
        <w:rPr>
          <w:i/>
          <w:sz w:val="28"/>
          <w:szCs w:val="28"/>
          <w:lang w:val="fr-FR"/>
        </w:rPr>
      </w:pPr>
      <w:r w:rsidRPr="00B9543B">
        <w:rPr>
          <w:szCs w:val="20"/>
          <w:lang w:val="fr-FR"/>
        </w:rPr>
        <w:t>[au]</w:t>
      </w:r>
      <w:r w:rsidRPr="00B9543B">
        <w:rPr>
          <w:i/>
          <w:sz w:val="28"/>
          <w:szCs w:val="28"/>
          <w:lang w:val="fr-FR"/>
        </w:rPr>
        <w:t>Eric Tymoigne</w:t>
      </w:r>
    </w:p>
    <w:p w14:paraId="278EE93D" w14:textId="77777777" w:rsidR="002F0144" w:rsidRPr="00CB28AB" w:rsidRDefault="002F0144" w:rsidP="00122AE6">
      <w:pPr>
        <w:rPr>
          <w:lang w:val="fr-FR"/>
        </w:rPr>
      </w:pPr>
    </w:p>
    <w:p w14:paraId="3096A194" w14:textId="77777777" w:rsidR="002F0144" w:rsidRPr="00CB28AB" w:rsidRDefault="002F0144" w:rsidP="00122AE6">
      <w:pPr>
        <w:rPr>
          <w:lang w:val="fr-FR"/>
        </w:rPr>
      </w:pPr>
    </w:p>
    <w:p w14:paraId="1DC16B22" w14:textId="77777777" w:rsidR="002F0144" w:rsidRPr="00CB28AB" w:rsidRDefault="002F0144" w:rsidP="00122AE6">
      <w:pPr>
        <w:rPr>
          <w:lang w:val="fr-FR"/>
        </w:rPr>
      </w:pPr>
    </w:p>
    <w:p w14:paraId="2037ABF4" w14:textId="77777777" w:rsidR="002F0144" w:rsidRPr="00CB28AB" w:rsidRDefault="002F0144" w:rsidP="00122AE6">
      <w:r w:rsidRPr="00CB28AB">
        <w:t xml:space="preserve">An economic unit is said to be financially fragile when its financial positions are expect to require a high reliance on debt refinancing and/or selling assets in order to meet its liability commitments (debt services, margin calls, insurance premiums, and all other contractual cash outflows induced by financial contracts). The term </w:t>
      </w:r>
      <w:r>
        <w:t>‘</w:t>
      </w:r>
      <w:r w:rsidRPr="00CB28AB">
        <w:t>financial positions</w:t>
      </w:r>
      <w:r>
        <w:t>’</w:t>
      </w:r>
      <w:r w:rsidRPr="00CB28AB">
        <w:t xml:space="preserve"> refers to the structure of the balance sheet (defined broadly to include off-balance-sheet items) and the cash inflows and cash outflows induced respectively by assets and liabilities. Alternatively, financial fragility can be defined as the high sensitivity of financial positions to changes in asset prices, credit conditions, and economic growth, in such a way that not-unusual fluctuations in the previous variables create difficulties to meet liability commitments.</w:t>
      </w:r>
    </w:p>
    <w:p w14:paraId="12CC76C0" w14:textId="77777777" w:rsidR="002F0144" w:rsidRPr="00CB28AB" w:rsidRDefault="002F0144" w:rsidP="00122AE6">
      <w:r>
        <w:tab/>
      </w:r>
      <w:r w:rsidRPr="00CB28AB">
        <w:t>Irving Fisher</w:t>
      </w:r>
      <w:r>
        <w:t>’</w:t>
      </w:r>
      <w:r w:rsidRPr="00CB28AB">
        <w:t xml:space="preserve">s </w:t>
      </w:r>
      <w:r w:rsidRPr="00CB28AB">
        <w:rPr>
          <w:i/>
        </w:rPr>
        <w:t>Booms and Depressions</w:t>
      </w:r>
      <w:r w:rsidRPr="00CB28AB">
        <w:t xml:space="preserve"> (1932) has been highly influential in the study of financial fragility even though economists like Thorstein Veblen, Joseph Schumpeter, and Wesley Mitchell dealt with the subject earlier than him. Fisher had the advantage of observing the disintegration of the economy (and his personal finances) during the Great Depression, which allowed him to develop a much richer framework of analysis. Notably, he explains how </w:t>
      </w:r>
      <w:r>
        <w:t>‘</w:t>
      </w:r>
      <w:r w:rsidRPr="00CB28AB">
        <w:t>overindebtedness</w:t>
      </w:r>
      <w:r>
        <w:t>’</w:t>
      </w:r>
      <w:r w:rsidRPr="00CB28AB">
        <w:t xml:space="preserve"> could lead to a </w:t>
      </w:r>
      <w:r>
        <w:t>‘</w:t>
      </w:r>
      <w:r w:rsidRPr="00CB28AB">
        <w:t>debt-deflation</w:t>
      </w:r>
      <w:r>
        <w:t>’</w:t>
      </w:r>
      <w:r w:rsidRPr="00CB28AB">
        <w:t xml:space="preserve"> process. The latter is a situation in which financing and refinancing sources have been shut down (credit crunch) and the only solution left to overindebted economic units is to sell assets; however, the more asset liquidation occurs, the more asset prices go down, and so the more difficult it is to meet liability commitments by selling assets. The resulting general deflation in output prices and asset prices generates difficulties for economic units that were previously financially sound. Today, the concept of debt-deflation is a core element of economic analysis and is probably one of the few non-controversial theoretical concepts of economics. One of the central goals of economists has been to provide a more precise definition of financial fragility than the rough concept of overindebtedness, and to explain how financial fragility emerges. As shown below, there are significant disagreements regarding how an economy ends up in a debt-deflation process, which leads to very different ways of defining and measuring financial fragility, as well as very distinct policy implications.</w:t>
      </w:r>
    </w:p>
    <w:p w14:paraId="48F465B0" w14:textId="77777777" w:rsidR="002F0144" w:rsidRPr="00CB28AB" w:rsidRDefault="002F0144" w:rsidP="00122AE6">
      <w:r>
        <w:lastRenderedPageBreak/>
        <w:tab/>
      </w:r>
      <w:r w:rsidRPr="00CB28AB">
        <w:t>The first, and older, approach to the study of financial fragility states that overindebtedness is the inherent result of well-functioning market economies. During long periods of economic expansion that may record minor contractions, market mechanisms tend to be destabilizing rather than self-correcting. As a consequence, the more perfect market competition is, the more prone to instability and debt-deflation an economy becomes. If there is a large involvement of the government, the econom</w:t>
      </w:r>
      <w:r>
        <w:t>y</w:t>
      </w:r>
      <w:r w:rsidRPr="00CB28AB">
        <w:t xml:space="preserve"> will be more stable but additional sources of instability emerge via market mechanisms, government intervention</w:t>
      </w:r>
      <w:r>
        <w:t>,</w:t>
      </w:r>
      <w:r w:rsidRPr="00CB28AB">
        <w:t xml:space="preserve"> and the interaction between the two. A major contributor to this approach of financial fragility is Hyman P. Minsky (1986) who states that economic </w:t>
      </w:r>
      <w:r w:rsidRPr="002652C8">
        <w:t>‘</w:t>
      </w:r>
      <w:r w:rsidRPr="00CB28AB">
        <w:t>stability is destabilizing</w:t>
      </w:r>
      <w:r w:rsidRPr="002652C8">
        <w:t>’</w:t>
      </w:r>
      <w:r w:rsidRPr="00CB28AB">
        <w:t>. By relying on the work of Fisher and combining Keynes</w:t>
      </w:r>
      <w:r w:rsidRPr="002652C8">
        <w:t>’</w:t>
      </w:r>
      <w:r w:rsidRPr="00CB28AB">
        <w:t>s and Schumpeter</w:t>
      </w:r>
      <w:r w:rsidRPr="002652C8">
        <w:t>’</w:t>
      </w:r>
      <w:r w:rsidRPr="00CB28AB">
        <w:t>s, he defines three different degrees of financial fragility and explains how an economic unit becomes financially fragile.</w:t>
      </w:r>
    </w:p>
    <w:p w14:paraId="62EDE4C8" w14:textId="77777777" w:rsidR="002F0144" w:rsidRPr="00CB28AB" w:rsidRDefault="002F0144" w:rsidP="00122AE6">
      <w:r>
        <w:tab/>
      </w:r>
      <w:r w:rsidRPr="00CB28AB">
        <w:t>According to Minsky, the degree of financial fragility of any economic unit can be classified as hedge finance, speculative finance or Ponzi finance. Hedge finance means that an economic unit is expected to be able to pay its liability commitments with the net cash flow it generates from its routine economic operations (work for most individuals, going concern for companies). Thus, even though indebtedness may be high, an economy in which most economic units rely on hedge finance is not prone to debt-deflation processes, unless unusually large declines in routine cash inflows and/or unusually large increases in cash outflows occur. Even then, cash reserves and liquid assets are usually large enough to deal with unforeseen problems.</w:t>
      </w:r>
    </w:p>
    <w:p w14:paraId="5B6EB04F" w14:textId="77777777" w:rsidR="002F0144" w:rsidRPr="00CB28AB" w:rsidRDefault="002F0144" w:rsidP="00122AE6">
      <w:r>
        <w:tab/>
      </w:r>
      <w:r w:rsidRPr="00CB28AB">
        <w:t>Speculative finance means that routine net cash flow sources and cash reserves are expected to be too low to pay the capital component of liabilities (principal servicing, margin calls</w:t>
      </w:r>
      <w:r>
        <w:t>,</w:t>
      </w:r>
      <w:r w:rsidRPr="00CB28AB">
        <w:t xml:space="preserve"> and others). As a consequence, an economic unit needs either to borrow funds or to sell some less-liquid assets to pay liability commitments. This state of financial fragility is especially common among economic units, like commercial banks, whose business model involves funding the ownership of long-term assets with short-term, external sources of funds and so requires constant access to refinancing sources to work properly.</w:t>
      </w:r>
    </w:p>
    <w:p w14:paraId="406EB6DE" w14:textId="77777777" w:rsidR="002F0144" w:rsidRPr="00CB28AB" w:rsidRDefault="002F0144" w:rsidP="00122AE6">
      <w:r>
        <w:tab/>
      </w:r>
      <w:r w:rsidRPr="00CB28AB">
        <w:t>Ponzi finance means that an economic unit is neither expected to generate enough net cash flow from its routine economic operations nor to have enough cash reserves to meet the capital and income servicing due on outstanding financial contracts. Note that this implies that Ponzi finance involves an expected growing need for refinancing operations given outstanding liabilities and/or an expected liquidation of assets at rising prices. If a majority of economic units is involved in Ponzi finance the economic system is highly prone to debt-deflation.</w:t>
      </w:r>
    </w:p>
    <w:p w14:paraId="726A3943" w14:textId="77777777" w:rsidR="002F0144" w:rsidRPr="00CB28AB" w:rsidRDefault="002F0144" w:rsidP="00122AE6">
      <w:r>
        <w:tab/>
      </w:r>
      <w:r w:rsidRPr="00CB28AB">
        <w:t xml:space="preserve">According to Minsky (1975a, 1986), when an economy is stable and performs well over an extended period of time, more and more economic units move away from hedge finance and become involved in Ponzi </w:t>
      </w:r>
      <w:r w:rsidRPr="00CB28AB">
        <w:lastRenderedPageBreak/>
        <w:t xml:space="preserve">finance. The explanation he proposes is called the </w:t>
      </w:r>
      <w:r>
        <w:t>‘</w:t>
      </w:r>
      <w:r w:rsidRPr="00CB28AB">
        <w:t>financial instability hypothesis</w:t>
      </w:r>
      <w:r>
        <w:t>’</w:t>
      </w:r>
      <w:r w:rsidRPr="00CB28AB">
        <w:t xml:space="preserve"> and it relies on psychological, sociological, economic</w:t>
      </w:r>
      <w:r>
        <w:t>,</w:t>
      </w:r>
      <w:r w:rsidRPr="00CB28AB">
        <w:t xml:space="preserve"> and policy factors to explain how the previous move occurs</w:t>
      </w:r>
      <w:r>
        <w:t xml:space="preserve">. </w:t>
      </w:r>
      <w:r w:rsidRPr="00CB28AB">
        <w:t xml:space="preserve">According to him, it is possible to use a </w:t>
      </w:r>
      <w:r>
        <w:t>‘</w:t>
      </w:r>
      <w:r w:rsidRPr="00CB28AB">
        <w:t>big bank</w:t>
      </w:r>
      <w:r>
        <w:t>’</w:t>
      </w:r>
      <w:r w:rsidRPr="00CB28AB">
        <w:t xml:space="preserve"> (central bank) and a </w:t>
      </w:r>
      <w:r>
        <w:t>‘</w:t>
      </w:r>
      <w:r w:rsidRPr="00CB28AB">
        <w:t>big government</w:t>
      </w:r>
      <w:r>
        <w:t>’</w:t>
      </w:r>
      <w:r w:rsidRPr="00CB28AB">
        <w:t xml:space="preserve"> (federal/national treasury) to delay the growth of financial fragility and to eliminate deflationary tendencies but there is a price to pay in terms of moral hazard and potential stagflation. This is especially so if the authorities do not fully recognize the strong stabilizing influences they can have on the economic system. Thus, Minsky was highly critical of the </w:t>
      </w:r>
      <w:r>
        <w:t>‘</w:t>
      </w:r>
      <w:r w:rsidRPr="00CB28AB">
        <w:t>Keynesian</w:t>
      </w:r>
      <w:r>
        <w:t>’</w:t>
      </w:r>
      <w:r w:rsidRPr="00CB28AB">
        <w:t xml:space="preserve"> policies of the 1950s and 1960s for not accounting for the fact that deflationary pressures were no longer a major concern, and for only taking from the Great Depression the idea that deficit spending can help to stabilize the economy. More broadly, according to Minsky, promoting financial stability is always a work in progress and there is no definitive policy solution to an ever-changing economic system in which economic freedom is the rule.</w:t>
      </w:r>
    </w:p>
    <w:p w14:paraId="7023BEA4" w14:textId="77777777" w:rsidR="002F0144" w:rsidRPr="00CB28AB" w:rsidRDefault="002F0144" w:rsidP="00122AE6">
      <w:r>
        <w:tab/>
      </w:r>
      <w:r w:rsidRPr="00CB28AB">
        <w:t>A second approach to financial fragility developed from the mid-1980s within mainstream economics. It argues that financial fragility is the result of market imperfections and/or individual imperfections. A lot of emphasis is put especially on the existence of asymmetries of information (Mishkin, 1991, 1997). More precisely, banks have much less information about the quality of an economic project than potential borrowers and the former know that the latter tend to provide a rosy view of their project. Bankers try to protect themselves by requiring more collateral</w:t>
      </w:r>
      <w:r>
        <w:t>,</w:t>
      </w:r>
      <w:r w:rsidRPr="00CB28AB">
        <w:t xml:space="preserve"> but during periods of economic instability that follow a shock the value of collateral declines, which leads borrowers to limit their entrepreneurial effort and so increases the chances of financial difficulties (Bernanke and Gertler, 1990). Lenders take notice and start to ration credit to limit adverse selection. This, in turn, generates a credit crunch, which leads to further declines in net worth and collateral and so less effort and greater default risk. This story, however, leaves unexplained the cause of the </w:t>
      </w:r>
      <w:r>
        <w:t>‘</w:t>
      </w:r>
      <w:r w:rsidRPr="00CB28AB">
        <w:t>shock</w:t>
      </w:r>
      <w:r>
        <w:t>’</w:t>
      </w:r>
      <w:r w:rsidRPr="00CB28AB">
        <w:t xml:space="preserve"> and recent efforts have been made to endogenize this view by linking effort and the business cycle (Suarez and Sussman, 1997, 2007). The more effort people put into their business, the more productive they are, which leads to greater supply of commodities and so lower prices. Lower prices in turn lead to lower net gains, which leads to lower effort and so greater risk of default.</w:t>
      </w:r>
    </w:p>
    <w:p w14:paraId="26558ACC" w14:textId="77777777" w:rsidR="002F0144" w:rsidRPr="00CB28AB" w:rsidRDefault="002F0144" w:rsidP="00122AE6">
      <w:r>
        <w:tab/>
      </w:r>
      <w:r w:rsidRPr="00CB28AB">
        <w:t xml:space="preserve">Behavioral finance has complemented this imperfection approach by challenging the idea that people behave in a </w:t>
      </w:r>
      <w:r w:rsidRPr="00CB28AB">
        <w:rPr>
          <w:i/>
        </w:rPr>
        <w:t>homo economicus</w:t>
      </w:r>
      <w:r w:rsidRPr="00CB28AB">
        <w:t xml:space="preserve"> fashion (De Bondt and Thaler</w:t>
      </w:r>
      <w:r>
        <w:t>,</w:t>
      </w:r>
      <w:r w:rsidRPr="00CB28AB">
        <w:t xml:space="preserve"> 1995; Shiller</w:t>
      </w:r>
      <w:r>
        <w:t>,</w:t>
      </w:r>
      <w:r w:rsidRPr="00CB28AB">
        <w:t xml:space="preserve"> 1999). It shows that not only people tend to have </w:t>
      </w:r>
      <w:r>
        <w:t>‘</w:t>
      </w:r>
      <w:r w:rsidRPr="00CB28AB">
        <w:t>biases</w:t>
      </w:r>
      <w:r>
        <w:t>’</w:t>
      </w:r>
      <w:r w:rsidRPr="00CB28AB">
        <w:t xml:space="preserve"> (overoptimism, etc.) but also these behaviors are contagious (De Long et al.</w:t>
      </w:r>
      <w:r>
        <w:t>,</w:t>
      </w:r>
      <w:r w:rsidRPr="00CB28AB">
        <w:t xml:space="preserve"> 1990, 1991). Keynes already made the point that even financial</w:t>
      </w:r>
      <w:r>
        <w:t xml:space="preserve"> </w:t>
      </w:r>
      <w:r w:rsidRPr="00CB28AB">
        <w:t xml:space="preserve">market participants following a long-term strategy must concern themselves with the views of speculators because the latter can have a very strong influence on asset </w:t>
      </w:r>
      <w:r w:rsidRPr="00CB28AB">
        <w:lastRenderedPageBreak/>
        <w:t>prices. As a consequence, a market economy is prone to bubbles, herd behaviors</w:t>
      </w:r>
      <w:r>
        <w:t>,</w:t>
      </w:r>
      <w:r w:rsidRPr="00CB28AB">
        <w:t xml:space="preserve"> and misallocation of resources, leading to overindebtedness and ultimately debt-deflation processes. All this can be complemented by arguing that people have limited cognitive capacities that restrict their capacity to acquire and interpret information.</w:t>
      </w:r>
    </w:p>
    <w:p w14:paraId="3ABA7945" w14:textId="77777777" w:rsidR="002F0144" w:rsidRPr="00CB28AB" w:rsidRDefault="002F0144" w:rsidP="00122AE6">
      <w:r>
        <w:tab/>
      </w:r>
      <w:r w:rsidRPr="00CB28AB">
        <w:t xml:space="preserve">Overall, both approaches have some commonalities, especially in the recognition of the psychological and social behaviors of individuals, but the causes of financial fragility and the means to correct it are different. The evolutionary view of financial fragility sees the emergence of debt-deflation processes as the inherent result of the way </w:t>
      </w:r>
      <w:r>
        <w:t xml:space="preserve">the </w:t>
      </w:r>
      <w:r w:rsidRPr="00CB28AB">
        <w:t>capitalist economy works. The imperfection view sees debt-deflation as a rare anomaly in an otherwise self-correcting system. This has strong implications in terms of policy and empirical studies.</w:t>
      </w:r>
    </w:p>
    <w:p w14:paraId="1ECB18A5" w14:textId="77777777" w:rsidR="002F0144" w:rsidRPr="00CB28AB" w:rsidRDefault="002F0144" w:rsidP="00122AE6">
      <w:r>
        <w:tab/>
      </w:r>
      <w:r w:rsidRPr="00CB28AB">
        <w:t>In terms of empirical analysis, if one follows the evolutionary view, hedge, speculative and Ponzi finance guide the empirical detection of financial fragility (</w:t>
      </w:r>
      <w:r>
        <w:t>Niggle, 1989; Schroeder, 2009</w:t>
      </w:r>
      <w:r w:rsidRPr="00CB28AB">
        <w:t>). In this case, the point is neither to measure bubbles nor to predict financial crises. On the contrary</w:t>
      </w:r>
      <w:r>
        <w:t>,</w:t>
      </w:r>
      <w:r w:rsidRPr="00CB28AB">
        <w:t xml:space="preserve"> the goal is to detect the growth of financial fragility when the economy is on a non-inflationary growth path. A clear example of this can be found in the 2003</w:t>
      </w:r>
      <w:r>
        <w:t>–</w:t>
      </w:r>
      <w:r w:rsidRPr="00CB28AB">
        <w:t xml:space="preserve">07 period when residential mortgage default rates were falling until 2006, while net worth of households and other sectors of the economy </w:t>
      </w:r>
      <w:r>
        <w:t xml:space="preserve">was </w:t>
      </w:r>
      <w:r w:rsidRPr="00CB28AB">
        <w:t xml:space="preserve">growing rapidly. At the same time, however, households with good credit started to buy primary residences with the expectation that home prices and refinancing would be available, and were allowed to </w:t>
      </w:r>
      <w:r>
        <w:t>‘</w:t>
      </w:r>
      <w:r w:rsidRPr="00CB28AB">
        <w:t>use their home equity</w:t>
      </w:r>
      <w:r>
        <w:t>’</w:t>
      </w:r>
      <w:r w:rsidRPr="00CB28AB">
        <w:t xml:space="preserve"> to borrow without reference (or with limited reference) to their income</w:t>
      </w:r>
      <w:r>
        <w:t>-</w:t>
      </w:r>
      <w:r w:rsidRPr="00CB28AB">
        <w:t xml:space="preserve">generation capacity. They were followed rapidly by subprime and </w:t>
      </w:r>
      <w:r>
        <w:t>A</w:t>
      </w:r>
      <w:r w:rsidRPr="00CB28AB">
        <w:t>lt-A borrowers. Data shows that from 2004, one can detect the existence of Ponzi finance in residential housing. Thus, the evolutionary approach puts a lot of emphasis on cash</w:t>
      </w:r>
      <w:r>
        <w:t xml:space="preserve"> </w:t>
      </w:r>
      <w:r w:rsidRPr="00CB28AB">
        <w:t>flows and position-making operations in order to detect unsustainable financial practices. This should be done for each sector of the economy and not only for investment in the non-financial sector, which is Minsky</w:t>
      </w:r>
      <w:r>
        <w:t>’</w:t>
      </w:r>
      <w:r w:rsidRPr="00CB28AB">
        <w:t>s theoretical basis. For example, Isenberg (1994) shows that empirical manifestation of financial fragility was limited in the non-financial sector during the Great Depression, and Minsky (1984) notes that the Great Depression was mostly caused by unsustainable residential mortgages and the depressive impact of government surpluses.</w:t>
      </w:r>
    </w:p>
    <w:p w14:paraId="707D3DD7" w14:textId="77777777" w:rsidR="002F0144" w:rsidRPr="00CB28AB" w:rsidRDefault="002F0144" w:rsidP="00122AE6">
      <w:r>
        <w:tab/>
      </w:r>
      <w:r w:rsidRPr="00CB28AB">
        <w:t>If one follows the imperfection view, the goal has been to predict the occurrence of financial crises through early warning systems rather than to measure the growth of financial fragility (Gayt</w:t>
      </w:r>
      <w:r w:rsidRPr="00CB28AB">
        <w:rPr>
          <w:highlight w:val="green"/>
        </w:rPr>
        <w:t>à</w:t>
      </w:r>
      <w:r w:rsidRPr="00CB28AB">
        <w:t>n and Johnson</w:t>
      </w:r>
      <w:r>
        <w:t>,</w:t>
      </w:r>
      <w:r w:rsidRPr="00CB28AB">
        <w:t xml:space="preserve"> 2002; </w:t>
      </w:r>
      <w:r>
        <w:t xml:space="preserve">Lestano and Kruber, 2003; Berg et al., 2004; Schinasi, 2006; </w:t>
      </w:r>
      <w:r w:rsidRPr="00CB28AB">
        <w:t>International Monetary Fund</w:t>
      </w:r>
      <w:r>
        <w:t>,</w:t>
      </w:r>
      <w:r w:rsidRPr="00CB28AB">
        <w:t xml:space="preserve"> 2009). More precisely, measuring the probability of the former has been associated with measuring the latter. Some of the most ambitious authors want not only to predict crises but also to detect their timing and amplitude; however, there is an internal debate about the possibility to do this given that shocks that lead to a crisis tend to be random </w:t>
      </w:r>
      <w:r w:rsidRPr="00CB28AB">
        <w:lastRenderedPageBreak/>
        <w:t>(</w:t>
      </w:r>
      <w:r w:rsidRPr="00CB28AB">
        <w:rPr>
          <w:szCs w:val="24"/>
        </w:rPr>
        <w:t>Bell</w:t>
      </w:r>
      <w:r>
        <w:rPr>
          <w:szCs w:val="24"/>
        </w:rPr>
        <w:t>,</w:t>
      </w:r>
      <w:r w:rsidRPr="00CB28AB">
        <w:rPr>
          <w:szCs w:val="24"/>
        </w:rPr>
        <w:t xml:space="preserve"> 2000)</w:t>
      </w:r>
      <w:r w:rsidRPr="00CB28AB">
        <w:t>. In order to predict crises, it is necessary to find leading variables that help to detect financial crises; favorite variables include, among others, declining business profits, rising default rates, rising government deficits, rapid growth of credit to the private sector, rapid growth of the money supply, rising real interest rate</w:t>
      </w:r>
      <w:r>
        <w:t>s</w:t>
      </w:r>
      <w:r w:rsidRPr="00CB28AB">
        <w:t>, declining real GDP, among others. The success of early warning system</w:t>
      </w:r>
      <w:r>
        <w:t>s</w:t>
      </w:r>
      <w:r w:rsidRPr="00CB28AB">
        <w:t>, however, has been subject to numerous debates and most authors find a limited predictive capacity. In addition, most authors also find that government budget surpluses, rather than deficits are leading indicators of currency crises (Bussiere and Fratzscher</w:t>
      </w:r>
      <w:r>
        <w:t>,</w:t>
      </w:r>
      <w:r w:rsidRPr="00CB28AB">
        <w:t xml:space="preserve"> 2002).</w:t>
      </w:r>
    </w:p>
    <w:p w14:paraId="0FBA6163" w14:textId="77777777" w:rsidR="002F0144" w:rsidRPr="00CB28AB" w:rsidRDefault="002F0144" w:rsidP="00122AE6">
      <w:r>
        <w:tab/>
      </w:r>
      <w:r w:rsidRPr="00CB28AB">
        <w:t>In terms of policy, according to the imperfection view, the point is to eliminate, or to compensate for, market and individual imperfections. Market imperfections can be corrected through market deregulation and pro-market policies in order to improve competition. In order to deal with individual imperfections, policy</w:t>
      </w:r>
      <w:r>
        <w:t>-</w:t>
      </w:r>
      <w:r w:rsidRPr="00CB28AB">
        <w:t xml:space="preserve">makers should promote financial education, create new market indicators and improve existing indicators so that people can make more informed decisions. In addition, one should make sure that only economic units </w:t>
      </w:r>
      <w:r>
        <w:t xml:space="preserve">that </w:t>
      </w:r>
      <w:r w:rsidRPr="00CB28AB">
        <w:t>are sophisticated enough can enter some segments of a market. The risks induced by both imperfections and by exogenous shocks can be accounted for through high enough buffers against unexpected losses (capital requirement), expected losses (loan loss reserves), and liquidity shortages (liquidity requirements). Once all this is done, market mechanisms will be more efficient and will be better protected against adverse exogenous shocks.</w:t>
      </w:r>
    </w:p>
    <w:p w14:paraId="7C36C53D" w14:textId="77777777" w:rsidR="002F0144" w:rsidRPr="00CB28AB" w:rsidRDefault="002F0144" w:rsidP="00122AE6">
      <w:r>
        <w:tab/>
      </w:r>
      <w:r w:rsidRPr="00CB28AB">
        <w:t>In the evolutionary view, the point is to discourage, and if necessary, forbid any economic growth process that is not based on solid financial practices, even if everybody is profiting from the continuation of this process in the short</w:t>
      </w:r>
      <w:r>
        <w:t xml:space="preserve"> </w:t>
      </w:r>
      <w:r w:rsidRPr="00CB28AB">
        <w:t>term, and even if the financial community ends up considering those practices acceptable and a normal way to do business. In order to do so, the financial practices of economic agents should be checked carefully and growing signs of Ponzi finance should be tackled immediately, even if there is no bubble, no rising default rate, rising wealth and profit. In order to detect growing financial fragility, regulators should focus especially on cash flows from assets and liabilities, and on position-making needs (i.e.</w:t>
      </w:r>
      <w:r>
        <w:t>,</w:t>
      </w:r>
      <w:r w:rsidRPr="00CB28AB">
        <w:t xml:space="preserve"> refinancing and liquidation needs) that result from them (Minsky</w:t>
      </w:r>
      <w:r>
        <w:t>,</w:t>
      </w:r>
      <w:r w:rsidRPr="00CB28AB">
        <w:t xml:space="preserve"> 1975b). This policy agenda is, of course, much broader and more ambitious than the previous one, but its relevance has been demonstrated many times. For example, prior to the </w:t>
      </w:r>
      <w:r>
        <w:t>savings and loans</w:t>
      </w:r>
      <w:r w:rsidRPr="00CB28AB">
        <w:t xml:space="preserve"> crisis several in-field supervisors wanted to shut down some thrifts that were recording massive profits because they </w:t>
      </w:r>
      <w:r>
        <w:t xml:space="preserve">were </w:t>
      </w:r>
      <w:r w:rsidRPr="00CB28AB">
        <w:t xml:space="preserve">suspected to be involved in Ponzi finance sustained by massive frauds. However, there were strong pressures from their bosses and politicians not to close them because, given their profitability, they were seen as </w:t>
      </w:r>
      <w:r>
        <w:t xml:space="preserve">a </w:t>
      </w:r>
      <w:r w:rsidRPr="00CB28AB">
        <w:t>model for the industry (Black</w:t>
      </w:r>
      <w:r>
        <w:t>,</w:t>
      </w:r>
      <w:r w:rsidRPr="00CB28AB">
        <w:t xml:space="preserve"> 2005). Thus, those thrifts were allowed to </w:t>
      </w:r>
      <w:r w:rsidRPr="00CB28AB">
        <w:lastRenderedPageBreak/>
        <w:t>continue to operate but ended up costing hundreds of billions of dollars when they failed. Similarly, during the housing boom of the mid-2000s, household wealth grew very rapidly, financial companies register</w:t>
      </w:r>
      <w:r>
        <w:t>ed</w:t>
      </w:r>
      <w:r w:rsidRPr="00CB28AB">
        <w:t xml:space="preserve"> record-high profits, and homeownership also reached a record high, but all those gains were wiped out once the economy collapse</w:t>
      </w:r>
      <w:r>
        <w:t>d</w:t>
      </w:r>
      <w:r w:rsidRPr="00CB28AB">
        <w:t>. Steps should have been taken since at least 2003 to prevent the unsustainable growth of home</w:t>
      </w:r>
      <w:r>
        <w:t xml:space="preserve"> </w:t>
      </w:r>
      <w:r w:rsidRPr="00CB28AB">
        <w:t>ownership and dangerous business practices. This should have been done by forbidding no-doc loans, by limiting access to pay-option mortgages to people with enough cash buffer and income, by not allowing financial institutions to create Ponzi-generating financial innovations</w:t>
      </w:r>
      <w:r>
        <w:t>,</w:t>
      </w:r>
      <w:r w:rsidRPr="00CB28AB">
        <w:t xml:space="preserve"> and by regulating closely all new financial activities. In addition, Ponzi processes, especially if fully collateral based, are impossible to buffer properly in an economically profitable way and so should not be allowed. An alternative would be to remove any government backing from economic activities that rely on fully collateral-based Ponzi finance (which implies isolating the payment system from those activities). Thus, the evolutionary policy implies a change in the view of policy</w:t>
      </w:r>
      <w:r>
        <w:t>-</w:t>
      </w:r>
      <w:r w:rsidRPr="00CB28AB">
        <w:t>makers in terms of how to detect problems and how to interpret economic news. It also implies moving away from a growth-focused regulatory framework that tries to extract as much economic growth as possible, to a sustainability-focused regulatory framework that promotes economic growth only as long as it promotes permanent welfare gains.</w:t>
      </w:r>
    </w:p>
    <w:p w14:paraId="5C39B0CA" w14:textId="77777777" w:rsidR="002F0144" w:rsidRPr="00CB28AB" w:rsidRDefault="002F0144" w:rsidP="00122AE6">
      <w:r w:rsidRPr="00CB28AB">
        <w:t>[a]</w:t>
      </w:r>
      <w:r w:rsidRPr="00CB28AB">
        <w:rPr>
          <w:sz w:val="24"/>
          <w:szCs w:val="24"/>
        </w:rPr>
        <w:t>REFERENCES</w:t>
      </w:r>
    </w:p>
    <w:p w14:paraId="2C402A7F" w14:textId="77777777" w:rsidR="002F0144" w:rsidRPr="00CB28AB" w:rsidRDefault="002F0144" w:rsidP="00B24D93">
      <w:pPr>
        <w:rPr>
          <w:sz w:val="16"/>
          <w:szCs w:val="16"/>
        </w:rPr>
      </w:pPr>
      <w:r w:rsidRPr="00CB28AB">
        <w:rPr>
          <w:sz w:val="16"/>
          <w:szCs w:val="16"/>
        </w:rPr>
        <w:t xml:space="preserve">Bell, J. (2000), </w:t>
      </w:r>
      <w:r w:rsidRPr="00CB28AB">
        <w:rPr>
          <w:i/>
          <w:sz w:val="16"/>
          <w:szCs w:val="16"/>
        </w:rPr>
        <w:t>Leading Indicator Models of Banking Crises: A Critical Review</w:t>
      </w:r>
      <w:r w:rsidRPr="00CB28AB">
        <w:rPr>
          <w:sz w:val="16"/>
          <w:szCs w:val="16"/>
        </w:rPr>
        <w:t>, Bank of England Financial Stability Report, December, pp.</w:t>
      </w:r>
      <w:r>
        <w:rPr>
          <w:sz w:val="16"/>
          <w:szCs w:val="16"/>
        </w:rPr>
        <w:t> </w:t>
      </w:r>
      <w:r w:rsidRPr="00CB28AB">
        <w:rPr>
          <w:sz w:val="16"/>
          <w:szCs w:val="16"/>
        </w:rPr>
        <w:t>113</w:t>
      </w:r>
      <w:r>
        <w:rPr>
          <w:sz w:val="16"/>
          <w:szCs w:val="16"/>
        </w:rPr>
        <w:t>–</w:t>
      </w:r>
      <w:r w:rsidRPr="00CB28AB">
        <w:rPr>
          <w:sz w:val="16"/>
          <w:szCs w:val="16"/>
        </w:rPr>
        <w:t>29.</w:t>
      </w:r>
    </w:p>
    <w:p w14:paraId="34AB204E" w14:textId="77777777" w:rsidR="002F0144" w:rsidRPr="00CB28AB" w:rsidRDefault="002F0144" w:rsidP="00122AE6">
      <w:pPr>
        <w:rPr>
          <w:sz w:val="16"/>
          <w:szCs w:val="16"/>
        </w:rPr>
      </w:pPr>
      <w:r w:rsidRPr="00CB28AB">
        <w:rPr>
          <w:sz w:val="16"/>
          <w:szCs w:val="16"/>
        </w:rPr>
        <w:t xml:space="preserve">Berg, A., E. Borensztein and C. Pattillo (2004), </w:t>
      </w:r>
      <w:r>
        <w:rPr>
          <w:sz w:val="16"/>
          <w:szCs w:val="16"/>
        </w:rPr>
        <w:t>‘</w:t>
      </w:r>
      <w:r w:rsidRPr="00CB28AB">
        <w:rPr>
          <w:sz w:val="16"/>
          <w:szCs w:val="16"/>
        </w:rPr>
        <w:t>Assessing early warning systems: how have they worked in practice?</w:t>
      </w:r>
      <w:r>
        <w:rPr>
          <w:sz w:val="16"/>
          <w:szCs w:val="16"/>
        </w:rPr>
        <w:t>’</w:t>
      </w:r>
      <w:r w:rsidRPr="00CB28AB">
        <w:rPr>
          <w:sz w:val="16"/>
          <w:szCs w:val="16"/>
        </w:rPr>
        <w:t>, International Monetary Fund Working Paper No. WP/04/52.</w:t>
      </w:r>
    </w:p>
    <w:p w14:paraId="240325D5" w14:textId="77777777" w:rsidR="002F0144" w:rsidRPr="00CB28AB" w:rsidRDefault="002F0144" w:rsidP="00122AE6">
      <w:pPr>
        <w:rPr>
          <w:sz w:val="16"/>
          <w:szCs w:val="16"/>
        </w:rPr>
      </w:pPr>
      <w:r w:rsidRPr="00CB28AB">
        <w:rPr>
          <w:sz w:val="16"/>
          <w:szCs w:val="16"/>
        </w:rPr>
        <w:t xml:space="preserve">Bernanke, B.S. and M. Gertler (1990), </w:t>
      </w:r>
      <w:r>
        <w:rPr>
          <w:sz w:val="16"/>
          <w:szCs w:val="16"/>
        </w:rPr>
        <w:t>‘</w:t>
      </w:r>
      <w:r w:rsidRPr="00CB28AB">
        <w:rPr>
          <w:sz w:val="16"/>
          <w:szCs w:val="16"/>
        </w:rPr>
        <w:t>Financial fragility and economic performance</w:t>
      </w:r>
      <w:r>
        <w:rPr>
          <w:sz w:val="16"/>
          <w:szCs w:val="16"/>
        </w:rPr>
        <w:t>’</w:t>
      </w:r>
      <w:r w:rsidRPr="00CB28AB">
        <w:rPr>
          <w:sz w:val="16"/>
          <w:szCs w:val="16"/>
        </w:rPr>
        <w:t xml:space="preserve">, </w:t>
      </w:r>
      <w:r w:rsidRPr="00CB28AB">
        <w:rPr>
          <w:i/>
          <w:sz w:val="16"/>
          <w:szCs w:val="16"/>
        </w:rPr>
        <w:t>Quarterly Journal of Economics</w:t>
      </w:r>
      <w:r w:rsidRPr="00CB28AB">
        <w:rPr>
          <w:sz w:val="16"/>
          <w:szCs w:val="16"/>
        </w:rPr>
        <w:t xml:space="preserve">, </w:t>
      </w:r>
      <w:r w:rsidRPr="00CB28AB">
        <w:rPr>
          <w:b/>
          <w:sz w:val="16"/>
          <w:szCs w:val="16"/>
        </w:rPr>
        <w:t>105</w:t>
      </w:r>
      <w:r w:rsidRPr="00CB28AB">
        <w:rPr>
          <w:sz w:val="16"/>
          <w:szCs w:val="16"/>
        </w:rPr>
        <w:t>(1), 87</w:t>
      </w:r>
      <w:r>
        <w:rPr>
          <w:sz w:val="16"/>
          <w:szCs w:val="16"/>
        </w:rPr>
        <w:t>–</w:t>
      </w:r>
      <w:r w:rsidRPr="00CB28AB">
        <w:rPr>
          <w:sz w:val="16"/>
          <w:szCs w:val="16"/>
        </w:rPr>
        <w:t>114.</w:t>
      </w:r>
    </w:p>
    <w:p w14:paraId="27CF1986" w14:textId="77777777" w:rsidR="002F0144" w:rsidRPr="00CB28AB" w:rsidRDefault="002F0144" w:rsidP="00122AE6">
      <w:pPr>
        <w:rPr>
          <w:sz w:val="16"/>
          <w:szCs w:val="16"/>
        </w:rPr>
      </w:pPr>
      <w:r w:rsidRPr="00CB28AB">
        <w:rPr>
          <w:sz w:val="16"/>
          <w:szCs w:val="16"/>
        </w:rPr>
        <w:t xml:space="preserve">Black, W.K. (2005), </w:t>
      </w:r>
      <w:r w:rsidRPr="00CB28AB">
        <w:rPr>
          <w:i/>
          <w:sz w:val="16"/>
          <w:szCs w:val="16"/>
        </w:rPr>
        <w:t>The Best Way to Rob a Bank is to Own One: How Corporate Executives and Politicians Looted the S&amp;L Industry</w:t>
      </w:r>
      <w:r w:rsidRPr="00CB28AB">
        <w:rPr>
          <w:sz w:val="16"/>
          <w:szCs w:val="16"/>
        </w:rPr>
        <w:t>, Austin: University of Texas Press.</w:t>
      </w:r>
    </w:p>
    <w:p w14:paraId="4F12E58C" w14:textId="77777777" w:rsidR="002F0144" w:rsidRPr="00CB28AB" w:rsidRDefault="002F0144" w:rsidP="00122AE6">
      <w:pPr>
        <w:rPr>
          <w:sz w:val="16"/>
          <w:szCs w:val="16"/>
        </w:rPr>
      </w:pPr>
      <w:r w:rsidRPr="00CB28AB">
        <w:rPr>
          <w:sz w:val="16"/>
          <w:szCs w:val="16"/>
        </w:rPr>
        <w:t xml:space="preserve">Bussiere, M. and M. Fratzscher (2002), </w:t>
      </w:r>
      <w:r>
        <w:rPr>
          <w:sz w:val="16"/>
          <w:szCs w:val="16"/>
        </w:rPr>
        <w:t>‘</w:t>
      </w:r>
      <w:r w:rsidRPr="00CB28AB">
        <w:rPr>
          <w:sz w:val="16"/>
          <w:szCs w:val="16"/>
        </w:rPr>
        <w:t>Towards a new early warning system of financial crises</w:t>
      </w:r>
      <w:r>
        <w:rPr>
          <w:sz w:val="16"/>
          <w:szCs w:val="16"/>
        </w:rPr>
        <w:t>’</w:t>
      </w:r>
      <w:r w:rsidRPr="00CB28AB">
        <w:rPr>
          <w:sz w:val="16"/>
          <w:szCs w:val="16"/>
        </w:rPr>
        <w:t>, European Central Bank Working Paper No. 145.</w:t>
      </w:r>
    </w:p>
    <w:p w14:paraId="22FD0AB8" w14:textId="77777777" w:rsidR="002F0144" w:rsidRPr="00CB28AB" w:rsidRDefault="002F0144" w:rsidP="00122AE6">
      <w:pPr>
        <w:rPr>
          <w:sz w:val="16"/>
          <w:szCs w:val="16"/>
        </w:rPr>
      </w:pPr>
      <w:r w:rsidRPr="00CB28AB">
        <w:rPr>
          <w:sz w:val="16"/>
          <w:szCs w:val="16"/>
        </w:rPr>
        <w:t xml:space="preserve">De Bondt, W.F.M. and R.H. Thaler (1995), </w:t>
      </w:r>
      <w:r>
        <w:rPr>
          <w:sz w:val="16"/>
          <w:szCs w:val="16"/>
        </w:rPr>
        <w:t>‘</w:t>
      </w:r>
      <w:r w:rsidRPr="00CB28AB">
        <w:rPr>
          <w:sz w:val="16"/>
          <w:szCs w:val="16"/>
        </w:rPr>
        <w:t>Financial decision-making in markets and firms: a behavioral perspective</w:t>
      </w:r>
      <w:r>
        <w:rPr>
          <w:sz w:val="16"/>
          <w:szCs w:val="16"/>
        </w:rPr>
        <w:t>’</w:t>
      </w:r>
      <w:r w:rsidRPr="00CB28AB">
        <w:rPr>
          <w:sz w:val="16"/>
          <w:szCs w:val="16"/>
        </w:rPr>
        <w:t xml:space="preserve">, in R. Jarrow, V. Maksimovil and W.T. Ziemba (eds), </w:t>
      </w:r>
      <w:r w:rsidRPr="00CB28AB">
        <w:rPr>
          <w:i/>
          <w:sz w:val="16"/>
          <w:szCs w:val="16"/>
        </w:rPr>
        <w:t>Handbook in Operations Research and Management Science, Volume 9</w:t>
      </w:r>
      <w:r w:rsidRPr="00CB28AB">
        <w:rPr>
          <w:sz w:val="16"/>
          <w:szCs w:val="16"/>
        </w:rPr>
        <w:t>, San Diego: Elsevier, pp.</w:t>
      </w:r>
      <w:r>
        <w:rPr>
          <w:sz w:val="16"/>
          <w:szCs w:val="16"/>
        </w:rPr>
        <w:t> </w:t>
      </w:r>
      <w:r w:rsidRPr="00CB28AB">
        <w:rPr>
          <w:sz w:val="16"/>
          <w:szCs w:val="16"/>
        </w:rPr>
        <w:t>385</w:t>
      </w:r>
      <w:r>
        <w:rPr>
          <w:sz w:val="16"/>
          <w:szCs w:val="16"/>
        </w:rPr>
        <w:t>–</w:t>
      </w:r>
      <w:r w:rsidRPr="00CB28AB">
        <w:rPr>
          <w:sz w:val="16"/>
          <w:szCs w:val="16"/>
        </w:rPr>
        <w:t>410.</w:t>
      </w:r>
    </w:p>
    <w:p w14:paraId="60910D08" w14:textId="77777777" w:rsidR="002F0144" w:rsidRPr="00CB28AB" w:rsidRDefault="002F0144" w:rsidP="00122AE6">
      <w:pPr>
        <w:rPr>
          <w:sz w:val="16"/>
          <w:szCs w:val="16"/>
        </w:rPr>
      </w:pPr>
      <w:r w:rsidRPr="00CB28AB">
        <w:rPr>
          <w:sz w:val="16"/>
          <w:szCs w:val="16"/>
        </w:rPr>
        <w:t xml:space="preserve">De Long, J.B., A. Sheilfer, L.H. Summer and R.J. Waldmann (1990), </w:t>
      </w:r>
      <w:r>
        <w:rPr>
          <w:sz w:val="16"/>
          <w:szCs w:val="16"/>
        </w:rPr>
        <w:t>‘</w:t>
      </w:r>
      <w:r w:rsidRPr="00CB28AB">
        <w:rPr>
          <w:sz w:val="16"/>
          <w:szCs w:val="16"/>
        </w:rPr>
        <w:t>Noise trader risk in financial markets</w:t>
      </w:r>
      <w:r>
        <w:rPr>
          <w:sz w:val="16"/>
          <w:szCs w:val="16"/>
        </w:rPr>
        <w:t>’</w:t>
      </w:r>
      <w:r w:rsidRPr="00CB28AB">
        <w:rPr>
          <w:sz w:val="16"/>
          <w:szCs w:val="16"/>
        </w:rPr>
        <w:t xml:space="preserve">, </w:t>
      </w:r>
      <w:r w:rsidRPr="00CB28AB">
        <w:rPr>
          <w:i/>
          <w:sz w:val="16"/>
          <w:szCs w:val="16"/>
        </w:rPr>
        <w:t>Journal of Political Economy</w:t>
      </w:r>
      <w:r w:rsidRPr="00CB28AB">
        <w:rPr>
          <w:sz w:val="16"/>
          <w:szCs w:val="16"/>
        </w:rPr>
        <w:t xml:space="preserve">, </w:t>
      </w:r>
      <w:r w:rsidRPr="00CB28AB">
        <w:rPr>
          <w:b/>
          <w:sz w:val="16"/>
          <w:szCs w:val="16"/>
        </w:rPr>
        <w:t>98</w:t>
      </w:r>
      <w:r w:rsidRPr="00CB28AB">
        <w:rPr>
          <w:sz w:val="16"/>
          <w:szCs w:val="16"/>
        </w:rPr>
        <w:t>(4), 703</w:t>
      </w:r>
      <w:r>
        <w:rPr>
          <w:sz w:val="16"/>
          <w:szCs w:val="16"/>
        </w:rPr>
        <w:t>–</w:t>
      </w:r>
      <w:r w:rsidRPr="00CB28AB">
        <w:rPr>
          <w:sz w:val="16"/>
          <w:szCs w:val="16"/>
        </w:rPr>
        <w:t>38.</w:t>
      </w:r>
    </w:p>
    <w:p w14:paraId="37ADE418" w14:textId="77777777" w:rsidR="002F0144" w:rsidRPr="00CB28AB" w:rsidRDefault="002F0144" w:rsidP="00122AE6">
      <w:pPr>
        <w:rPr>
          <w:sz w:val="16"/>
          <w:szCs w:val="16"/>
        </w:rPr>
      </w:pPr>
      <w:r w:rsidRPr="00CB28AB">
        <w:rPr>
          <w:sz w:val="16"/>
          <w:szCs w:val="16"/>
        </w:rPr>
        <w:t xml:space="preserve">De Long, J.B., A. Sheilfer, L.H. Summer and R.J. Waldmann (1991), </w:t>
      </w:r>
      <w:r>
        <w:rPr>
          <w:sz w:val="16"/>
          <w:szCs w:val="16"/>
        </w:rPr>
        <w:t>‘</w:t>
      </w:r>
      <w:r w:rsidRPr="00CB28AB">
        <w:rPr>
          <w:sz w:val="16"/>
          <w:szCs w:val="16"/>
        </w:rPr>
        <w:t>The survival of noise traders in financial markets</w:t>
      </w:r>
      <w:r>
        <w:rPr>
          <w:sz w:val="16"/>
          <w:szCs w:val="16"/>
        </w:rPr>
        <w:t>’</w:t>
      </w:r>
      <w:r w:rsidRPr="00CB28AB">
        <w:rPr>
          <w:sz w:val="16"/>
          <w:szCs w:val="16"/>
        </w:rPr>
        <w:t xml:space="preserve">, </w:t>
      </w:r>
      <w:r w:rsidRPr="00CB28AB">
        <w:rPr>
          <w:i/>
          <w:sz w:val="16"/>
          <w:szCs w:val="16"/>
        </w:rPr>
        <w:t>Journal of Business</w:t>
      </w:r>
      <w:r w:rsidRPr="00CB28AB">
        <w:rPr>
          <w:sz w:val="16"/>
          <w:szCs w:val="16"/>
        </w:rPr>
        <w:t xml:space="preserve">, </w:t>
      </w:r>
      <w:r w:rsidRPr="00CB28AB">
        <w:rPr>
          <w:b/>
          <w:sz w:val="16"/>
          <w:szCs w:val="16"/>
        </w:rPr>
        <w:t>64</w:t>
      </w:r>
      <w:r w:rsidRPr="00CB28AB">
        <w:rPr>
          <w:sz w:val="16"/>
          <w:szCs w:val="16"/>
        </w:rPr>
        <w:t>(1), 1</w:t>
      </w:r>
      <w:r>
        <w:rPr>
          <w:sz w:val="16"/>
          <w:szCs w:val="16"/>
        </w:rPr>
        <w:t>–</w:t>
      </w:r>
      <w:r w:rsidRPr="00CB28AB">
        <w:rPr>
          <w:sz w:val="16"/>
          <w:szCs w:val="16"/>
        </w:rPr>
        <w:t>19.</w:t>
      </w:r>
    </w:p>
    <w:p w14:paraId="25142DAF" w14:textId="77777777" w:rsidR="002F0144" w:rsidRPr="00CB28AB" w:rsidRDefault="002F0144" w:rsidP="008F5256">
      <w:pPr>
        <w:autoSpaceDE w:val="0"/>
        <w:autoSpaceDN w:val="0"/>
        <w:adjustRightInd w:val="0"/>
        <w:rPr>
          <w:rFonts w:cs="Times New Roman"/>
          <w:bCs/>
          <w:sz w:val="16"/>
          <w:szCs w:val="16"/>
          <w:lang w:eastAsia="en-GB"/>
        </w:rPr>
      </w:pPr>
      <w:r w:rsidRPr="00CB28AB">
        <w:rPr>
          <w:rFonts w:cs="Times New Roman"/>
          <w:bCs/>
          <w:sz w:val="16"/>
          <w:szCs w:val="16"/>
          <w:lang w:eastAsia="en-GB"/>
        </w:rPr>
        <w:t xml:space="preserve">Fisher, Irving (1932), </w:t>
      </w:r>
      <w:r w:rsidRPr="00CB28AB">
        <w:rPr>
          <w:rFonts w:cs="Times New Roman"/>
          <w:bCs/>
          <w:i/>
          <w:sz w:val="16"/>
          <w:szCs w:val="16"/>
          <w:lang w:eastAsia="en-GB"/>
        </w:rPr>
        <w:t>Booms and Depressions: Some First Principles</w:t>
      </w:r>
      <w:r w:rsidRPr="00CB28AB">
        <w:rPr>
          <w:rFonts w:cs="Times New Roman"/>
          <w:bCs/>
          <w:sz w:val="16"/>
          <w:szCs w:val="16"/>
          <w:lang w:eastAsia="en-GB"/>
        </w:rPr>
        <w:t>, New York: Adelphi.</w:t>
      </w:r>
    </w:p>
    <w:p w14:paraId="1229588F" w14:textId="77777777" w:rsidR="002F0144" w:rsidRPr="00CB28AB" w:rsidRDefault="002F0144" w:rsidP="008F5256">
      <w:pPr>
        <w:rPr>
          <w:sz w:val="16"/>
          <w:szCs w:val="16"/>
        </w:rPr>
      </w:pPr>
      <w:r w:rsidRPr="00CB28AB">
        <w:rPr>
          <w:sz w:val="16"/>
          <w:szCs w:val="16"/>
        </w:rPr>
        <w:lastRenderedPageBreak/>
        <w:t>Gayt</w:t>
      </w:r>
      <w:r w:rsidRPr="00CB28AB">
        <w:rPr>
          <w:sz w:val="16"/>
          <w:szCs w:val="16"/>
          <w:highlight w:val="green"/>
        </w:rPr>
        <w:t>à</w:t>
      </w:r>
      <w:r w:rsidRPr="00CB28AB">
        <w:rPr>
          <w:sz w:val="16"/>
          <w:szCs w:val="16"/>
        </w:rPr>
        <w:t xml:space="preserve">n, A. and C.A. Johnson (2002), </w:t>
      </w:r>
      <w:r>
        <w:rPr>
          <w:sz w:val="16"/>
          <w:szCs w:val="16"/>
        </w:rPr>
        <w:t>‘</w:t>
      </w:r>
      <w:r w:rsidRPr="00CB28AB">
        <w:rPr>
          <w:sz w:val="16"/>
          <w:szCs w:val="16"/>
        </w:rPr>
        <w:t>A review of the literature on early warning systems for banking crises</w:t>
      </w:r>
      <w:r>
        <w:rPr>
          <w:sz w:val="16"/>
          <w:szCs w:val="16"/>
        </w:rPr>
        <w:t>’</w:t>
      </w:r>
      <w:r w:rsidRPr="00CB28AB">
        <w:rPr>
          <w:sz w:val="16"/>
          <w:szCs w:val="16"/>
        </w:rPr>
        <w:t>, Central Bank of Chile Working Paper No. 183.</w:t>
      </w:r>
    </w:p>
    <w:p w14:paraId="57373273" w14:textId="77777777" w:rsidR="002F0144" w:rsidRPr="00CB28AB" w:rsidRDefault="002F0144" w:rsidP="00122AE6">
      <w:pPr>
        <w:rPr>
          <w:sz w:val="16"/>
          <w:szCs w:val="16"/>
        </w:rPr>
      </w:pPr>
      <w:r w:rsidRPr="00CB28AB">
        <w:rPr>
          <w:sz w:val="16"/>
          <w:szCs w:val="16"/>
        </w:rPr>
        <w:t xml:space="preserve">International Monetary Fund (IMF) (2009), </w:t>
      </w:r>
      <w:r w:rsidRPr="00CB28AB">
        <w:rPr>
          <w:i/>
          <w:sz w:val="16"/>
          <w:szCs w:val="16"/>
        </w:rPr>
        <w:t>Global Financial Stability Report</w:t>
      </w:r>
      <w:r w:rsidRPr="00CB28AB">
        <w:rPr>
          <w:sz w:val="16"/>
          <w:szCs w:val="16"/>
        </w:rPr>
        <w:t>, April, Washington, DC: International Monetary Fund.</w:t>
      </w:r>
    </w:p>
    <w:p w14:paraId="7B975112" w14:textId="77777777" w:rsidR="002F0144" w:rsidRPr="00CB28AB" w:rsidRDefault="002F0144" w:rsidP="00122AE6">
      <w:pPr>
        <w:rPr>
          <w:sz w:val="16"/>
          <w:szCs w:val="16"/>
        </w:rPr>
      </w:pPr>
      <w:r w:rsidRPr="00CB28AB">
        <w:rPr>
          <w:sz w:val="16"/>
          <w:szCs w:val="16"/>
        </w:rPr>
        <w:t xml:space="preserve">Isenberg, D.L. (1994), </w:t>
      </w:r>
      <w:r>
        <w:rPr>
          <w:sz w:val="16"/>
          <w:szCs w:val="16"/>
        </w:rPr>
        <w:t>‘</w:t>
      </w:r>
      <w:r w:rsidRPr="00CB28AB">
        <w:rPr>
          <w:sz w:val="16"/>
          <w:szCs w:val="16"/>
        </w:rPr>
        <w:t>Financial fragility and the Great Depression: new evidence on credit growth in the 1920s</w:t>
      </w:r>
      <w:r>
        <w:rPr>
          <w:sz w:val="16"/>
          <w:szCs w:val="16"/>
        </w:rPr>
        <w:t>’, in G</w:t>
      </w:r>
      <w:r w:rsidRPr="00CB28AB">
        <w:rPr>
          <w:sz w:val="16"/>
          <w:szCs w:val="16"/>
        </w:rPr>
        <w:t xml:space="preserve">.A. Dymski and R. Pollin (eds), </w:t>
      </w:r>
      <w:r w:rsidRPr="00CB28AB">
        <w:rPr>
          <w:i/>
          <w:iCs/>
          <w:sz w:val="16"/>
          <w:szCs w:val="16"/>
        </w:rPr>
        <w:t>New Perspectives in Monetary Macroeconomics: Explorations in the Tradition of Hyman P. Minsky</w:t>
      </w:r>
      <w:r w:rsidRPr="00CB28AB">
        <w:rPr>
          <w:sz w:val="16"/>
          <w:szCs w:val="16"/>
        </w:rPr>
        <w:t>, Ann Arbor: University of Michigan Press, pp.</w:t>
      </w:r>
      <w:r>
        <w:rPr>
          <w:sz w:val="16"/>
          <w:szCs w:val="16"/>
        </w:rPr>
        <w:t> </w:t>
      </w:r>
      <w:r w:rsidRPr="00CB28AB">
        <w:rPr>
          <w:sz w:val="16"/>
          <w:szCs w:val="16"/>
        </w:rPr>
        <w:t>201</w:t>
      </w:r>
      <w:r>
        <w:rPr>
          <w:sz w:val="16"/>
          <w:szCs w:val="16"/>
        </w:rPr>
        <w:t>–</w:t>
      </w:r>
      <w:r w:rsidRPr="00CB28AB">
        <w:rPr>
          <w:sz w:val="16"/>
          <w:szCs w:val="16"/>
        </w:rPr>
        <w:t>29.</w:t>
      </w:r>
    </w:p>
    <w:p w14:paraId="770E23EF" w14:textId="77777777" w:rsidR="002F0144" w:rsidRPr="00CB28AB" w:rsidRDefault="002F0144" w:rsidP="00122AE6">
      <w:pPr>
        <w:rPr>
          <w:sz w:val="16"/>
          <w:szCs w:val="16"/>
        </w:rPr>
      </w:pPr>
      <w:r w:rsidRPr="00CB28AB">
        <w:rPr>
          <w:sz w:val="16"/>
          <w:szCs w:val="16"/>
        </w:rPr>
        <w:t xml:space="preserve">Lestano, J. and G.H. Kuper (2003), </w:t>
      </w:r>
      <w:r>
        <w:rPr>
          <w:sz w:val="16"/>
          <w:szCs w:val="16"/>
        </w:rPr>
        <w:t>‘</w:t>
      </w:r>
      <w:r w:rsidRPr="00CB28AB">
        <w:rPr>
          <w:sz w:val="16"/>
          <w:szCs w:val="16"/>
        </w:rPr>
        <w:t>Indicators of financial crises do work! An early-warning system for six Asian countries</w:t>
      </w:r>
      <w:r>
        <w:rPr>
          <w:sz w:val="16"/>
          <w:szCs w:val="16"/>
        </w:rPr>
        <w:t>’</w:t>
      </w:r>
      <w:r w:rsidRPr="00CB28AB">
        <w:rPr>
          <w:sz w:val="16"/>
          <w:szCs w:val="16"/>
        </w:rPr>
        <w:t>, University of Groningen, CCSO Centre for Economic Research, Working Paper No. 200313.</w:t>
      </w:r>
    </w:p>
    <w:p w14:paraId="74858686" w14:textId="77777777" w:rsidR="002F0144" w:rsidRPr="00CB28AB" w:rsidRDefault="002F0144" w:rsidP="00122AE6">
      <w:pPr>
        <w:rPr>
          <w:sz w:val="16"/>
          <w:szCs w:val="16"/>
        </w:rPr>
      </w:pPr>
      <w:r w:rsidRPr="00CB28AB">
        <w:rPr>
          <w:sz w:val="16"/>
          <w:szCs w:val="16"/>
        </w:rPr>
        <w:t xml:space="preserve">Minsky, H.P. (1975a), </w:t>
      </w:r>
      <w:r w:rsidRPr="00CB28AB">
        <w:rPr>
          <w:i/>
          <w:sz w:val="16"/>
          <w:szCs w:val="16"/>
        </w:rPr>
        <w:t>John Maynard Keynes</w:t>
      </w:r>
      <w:r w:rsidRPr="00CB28AB">
        <w:rPr>
          <w:sz w:val="16"/>
          <w:szCs w:val="16"/>
        </w:rPr>
        <w:t>, Cambridge, UK: Cambridge University Press.</w:t>
      </w:r>
    </w:p>
    <w:p w14:paraId="4186C8E0" w14:textId="77777777" w:rsidR="002F0144" w:rsidRPr="00CB28AB" w:rsidRDefault="002F0144" w:rsidP="00122AE6">
      <w:pPr>
        <w:rPr>
          <w:sz w:val="16"/>
          <w:szCs w:val="16"/>
        </w:rPr>
      </w:pPr>
      <w:r w:rsidRPr="00CB28AB">
        <w:rPr>
          <w:sz w:val="16"/>
          <w:szCs w:val="16"/>
        </w:rPr>
        <w:t xml:space="preserve">Minsky, H.P. (1975b), </w:t>
      </w:r>
      <w:r>
        <w:rPr>
          <w:sz w:val="16"/>
          <w:szCs w:val="16"/>
        </w:rPr>
        <w:t>‘</w:t>
      </w:r>
      <w:r w:rsidRPr="00CB28AB">
        <w:rPr>
          <w:sz w:val="16"/>
          <w:szCs w:val="16"/>
        </w:rPr>
        <w:t>Suggestions for a cash flow-oriented bank examination</w:t>
      </w:r>
      <w:r>
        <w:rPr>
          <w:sz w:val="16"/>
          <w:szCs w:val="16"/>
        </w:rPr>
        <w:t>’</w:t>
      </w:r>
      <w:r w:rsidRPr="00CB28AB">
        <w:rPr>
          <w:sz w:val="16"/>
          <w:szCs w:val="16"/>
        </w:rPr>
        <w:t xml:space="preserve">, in Federal Reserve Bank of Chicago (ed.), </w:t>
      </w:r>
      <w:r w:rsidRPr="00CB28AB">
        <w:rPr>
          <w:i/>
          <w:iCs/>
          <w:sz w:val="16"/>
          <w:szCs w:val="16"/>
        </w:rPr>
        <w:t>Proceedings of a Conference on Bank Structure and Competition</w:t>
      </w:r>
      <w:r w:rsidRPr="00CB28AB">
        <w:rPr>
          <w:sz w:val="16"/>
          <w:szCs w:val="16"/>
        </w:rPr>
        <w:t>, Chicago: Federal Reserve Bank of Chicago, pp.</w:t>
      </w:r>
      <w:r>
        <w:rPr>
          <w:sz w:val="16"/>
          <w:szCs w:val="16"/>
        </w:rPr>
        <w:t> </w:t>
      </w:r>
      <w:r w:rsidRPr="00CB28AB">
        <w:rPr>
          <w:sz w:val="16"/>
          <w:szCs w:val="16"/>
        </w:rPr>
        <w:t>150</w:t>
      </w:r>
      <w:r>
        <w:rPr>
          <w:sz w:val="16"/>
          <w:szCs w:val="16"/>
        </w:rPr>
        <w:t>–</w:t>
      </w:r>
      <w:r w:rsidRPr="00CB28AB">
        <w:rPr>
          <w:sz w:val="16"/>
          <w:szCs w:val="16"/>
        </w:rPr>
        <w:t>84.</w:t>
      </w:r>
    </w:p>
    <w:p w14:paraId="6AD51F80" w14:textId="77777777" w:rsidR="002F0144" w:rsidRPr="00CB28AB" w:rsidRDefault="002F0144" w:rsidP="00122AE6">
      <w:pPr>
        <w:rPr>
          <w:sz w:val="16"/>
          <w:szCs w:val="16"/>
        </w:rPr>
      </w:pPr>
      <w:r w:rsidRPr="00CB28AB">
        <w:rPr>
          <w:sz w:val="16"/>
          <w:szCs w:val="16"/>
        </w:rPr>
        <w:t xml:space="preserve">Minsky, H.P. (1984), </w:t>
      </w:r>
      <w:r>
        <w:rPr>
          <w:sz w:val="16"/>
          <w:szCs w:val="16"/>
        </w:rPr>
        <w:t>‘</w:t>
      </w:r>
      <w:r w:rsidRPr="00CB28AB">
        <w:rPr>
          <w:sz w:val="16"/>
          <w:szCs w:val="16"/>
        </w:rPr>
        <w:t>Banking and industry between the two wars: the United States</w:t>
      </w:r>
      <w:r>
        <w:rPr>
          <w:sz w:val="16"/>
          <w:szCs w:val="16"/>
        </w:rPr>
        <w:t>’</w:t>
      </w:r>
      <w:r w:rsidRPr="00CB28AB">
        <w:rPr>
          <w:sz w:val="16"/>
          <w:szCs w:val="16"/>
        </w:rPr>
        <w:t xml:space="preserve">, </w:t>
      </w:r>
      <w:r w:rsidRPr="00CB28AB">
        <w:rPr>
          <w:i/>
          <w:iCs/>
          <w:sz w:val="16"/>
          <w:szCs w:val="16"/>
        </w:rPr>
        <w:t>Journal of European Economic History</w:t>
      </w:r>
      <w:r w:rsidRPr="00CB28AB">
        <w:rPr>
          <w:sz w:val="16"/>
          <w:szCs w:val="16"/>
        </w:rPr>
        <w:t xml:space="preserve">, </w:t>
      </w:r>
      <w:r w:rsidRPr="00CB28AB">
        <w:rPr>
          <w:b/>
          <w:sz w:val="16"/>
          <w:szCs w:val="16"/>
        </w:rPr>
        <w:t>13</w:t>
      </w:r>
      <w:r w:rsidRPr="00CB28AB">
        <w:rPr>
          <w:sz w:val="16"/>
          <w:szCs w:val="16"/>
        </w:rPr>
        <w:t>(2), 235</w:t>
      </w:r>
      <w:r>
        <w:rPr>
          <w:sz w:val="16"/>
          <w:szCs w:val="16"/>
        </w:rPr>
        <w:t>–</w:t>
      </w:r>
      <w:r w:rsidRPr="00CB28AB">
        <w:rPr>
          <w:sz w:val="16"/>
          <w:szCs w:val="16"/>
        </w:rPr>
        <w:t>72.</w:t>
      </w:r>
    </w:p>
    <w:p w14:paraId="0D266172" w14:textId="77777777" w:rsidR="002F0144" w:rsidRPr="00CB28AB" w:rsidRDefault="002F0144" w:rsidP="00122AE6">
      <w:pPr>
        <w:rPr>
          <w:sz w:val="16"/>
          <w:szCs w:val="16"/>
        </w:rPr>
      </w:pPr>
      <w:r w:rsidRPr="00CB28AB">
        <w:rPr>
          <w:sz w:val="16"/>
          <w:szCs w:val="16"/>
        </w:rPr>
        <w:t xml:space="preserve">Minsky, H.P. (1986), </w:t>
      </w:r>
      <w:r w:rsidRPr="00CB28AB">
        <w:rPr>
          <w:i/>
          <w:sz w:val="16"/>
          <w:szCs w:val="16"/>
        </w:rPr>
        <w:t>Stabilizing an Unstable Economy</w:t>
      </w:r>
      <w:r w:rsidRPr="00CB28AB">
        <w:rPr>
          <w:sz w:val="16"/>
          <w:szCs w:val="16"/>
        </w:rPr>
        <w:t>, New Haven, CT: Yale University Press.</w:t>
      </w:r>
    </w:p>
    <w:p w14:paraId="14751447" w14:textId="77777777" w:rsidR="002F0144" w:rsidRPr="00CB28AB" w:rsidRDefault="002F0144" w:rsidP="00122AE6">
      <w:pPr>
        <w:rPr>
          <w:sz w:val="16"/>
          <w:szCs w:val="16"/>
        </w:rPr>
      </w:pPr>
      <w:r w:rsidRPr="00CB28AB">
        <w:rPr>
          <w:sz w:val="16"/>
          <w:szCs w:val="16"/>
        </w:rPr>
        <w:t xml:space="preserve">Mishkin, F.S. (1991), </w:t>
      </w:r>
      <w:r>
        <w:rPr>
          <w:sz w:val="16"/>
          <w:szCs w:val="16"/>
        </w:rPr>
        <w:t>‘</w:t>
      </w:r>
      <w:r w:rsidRPr="00CB28AB">
        <w:rPr>
          <w:sz w:val="16"/>
          <w:szCs w:val="16"/>
        </w:rPr>
        <w:t>Asymmetric information and financial crises: a historical perspective</w:t>
      </w:r>
      <w:r>
        <w:rPr>
          <w:sz w:val="16"/>
          <w:szCs w:val="16"/>
        </w:rPr>
        <w:t>’</w:t>
      </w:r>
      <w:r w:rsidRPr="00CB28AB">
        <w:rPr>
          <w:sz w:val="16"/>
          <w:szCs w:val="16"/>
        </w:rPr>
        <w:t xml:space="preserve">, in R.G. Hubbard (ed.), </w:t>
      </w:r>
      <w:r w:rsidRPr="00CB28AB">
        <w:rPr>
          <w:i/>
          <w:sz w:val="16"/>
          <w:szCs w:val="16"/>
        </w:rPr>
        <w:t>Financial Markets and Financial Crises</w:t>
      </w:r>
      <w:r w:rsidRPr="00CB28AB">
        <w:rPr>
          <w:sz w:val="16"/>
          <w:szCs w:val="16"/>
        </w:rPr>
        <w:t>, Chicago: University of Chicago Press, pp.</w:t>
      </w:r>
      <w:r>
        <w:rPr>
          <w:sz w:val="16"/>
          <w:szCs w:val="16"/>
        </w:rPr>
        <w:t> </w:t>
      </w:r>
      <w:r w:rsidRPr="00CB28AB">
        <w:rPr>
          <w:sz w:val="16"/>
          <w:szCs w:val="16"/>
        </w:rPr>
        <w:t>69</w:t>
      </w:r>
      <w:r>
        <w:rPr>
          <w:sz w:val="16"/>
          <w:szCs w:val="16"/>
        </w:rPr>
        <w:t>–</w:t>
      </w:r>
      <w:r w:rsidRPr="00CB28AB">
        <w:rPr>
          <w:sz w:val="16"/>
          <w:szCs w:val="16"/>
        </w:rPr>
        <w:t>108.</w:t>
      </w:r>
    </w:p>
    <w:p w14:paraId="6A97B4AB" w14:textId="77777777" w:rsidR="002F0144" w:rsidRPr="00CB28AB" w:rsidRDefault="002F0144" w:rsidP="00122AE6">
      <w:pPr>
        <w:rPr>
          <w:sz w:val="16"/>
          <w:szCs w:val="16"/>
        </w:rPr>
      </w:pPr>
      <w:r w:rsidRPr="00CB28AB">
        <w:rPr>
          <w:sz w:val="16"/>
          <w:szCs w:val="16"/>
        </w:rPr>
        <w:t xml:space="preserve">Mishkin, F.S. (1997), </w:t>
      </w:r>
      <w:r>
        <w:rPr>
          <w:sz w:val="16"/>
          <w:szCs w:val="16"/>
        </w:rPr>
        <w:t>‘</w:t>
      </w:r>
      <w:r w:rsidRPr="00CB28AB">
        <w:rPr>
          <w:sz w:val="16"/>
          <w:szCs w:val="16"/>
        </w:rPr>
        <w:t>The causes and propagation of financial instability: lessons for policymakers</w:t>
      </w:r>
      <w:r>
        <w:rPr>
          <w:sz w:val="16"/>
          <w:szCs w:val="16"/>
        </w:rPr>
        <w:t>’</w:t>
      </w:r>
      <w:r w:rsidRPr="00CB28AB">
        <w:rPr>
          <w:sz w:val="16"/>
          <w:szCs w:val="16"/>
        </w:rPr>
        <w:t xml:space="preserve">, in Federal Reserve Bank of Kansas City (ed.), </w:t>
      </w:r>
      <w:r w:rsidRPr="00CB28AB">
        <w:rPr>
          <w:i/>
          <w:sz w:val="16"/>
          <w:szCs w:val="16"/>
        </w:rPr>
        <w:t>Maintaining Financial Stability in a Global Economy</w:t>
      </w:r>
      <w:r w:rsidRPr="00CB28AB">
        <w:rPr>
          <w:sz w:val="16"/>
          <w:szCs w:val="16"/>
        </w:rPr>
        <w:t>, Kansas City: Federal Reserve Bank of Kansas City, pp.</w:t>
      </w:r>
      <w:r>
        <w:rPr>
          <w:sz w:val="16"/>
          <w:szCs w:val="16"/>
        </w:rPr>
        <w:t> </w:t>
      </w:r>
      <w:r w:rsidRPr="00CB28AB">
        <w:rPr>
          <w:sz w:val="16"/>
          <w:szCs w:val="16"/>
        </w:rPr>
        <w:t>55</w:t>
      </w:r>
      <w:r>
        <w:rPr>
          <w:sz w:val="16"/>
          <w:szCs w:val="16"/>
        </w:rPr>
        <w:t>–</w:t>
      </w:r>
      <w:r w:rsidRPr="00CB28AB">
        <w:rPr>
          <w:sz w:val="16"/>
          <w:szCs w:val="16"/>
        </w:rPr>
        <w:t>96.</w:t>
      </w:r>
    </w:p>
    <w:p w14:paraId="58FAEBE5" w14:textId="77777777" w:rsidR="002F0144" w:rsidRPr="00CB28AB" w:rsidRDefault="002F0144" w:rsidP="00122AE6">
      <w:pPr>
        <w:rPr>
          <w:sz w:val="16"/>
          <w:szCs w:val="16"/>
        </w:rPr>
      </w:pPr>
      <w:r w:rsidRPr="00CB28AB">
        <w:rPr>
          <w:sz w:val="16"/>
          <w:szCs w:val="16"/>
        </w:rPr>
        <w:t xml:space="preserve">Niggle, C.J. (1989), </w:t>
      </w:r>
      <w:r>
        <w:rPr>
          <w:sz w:val="16"/>
          <w:szCs w:val="16"/>
        </w:rPr>
        <w:t>‘</w:t>
      </w:r>
      <w:r w:rsidRPr="00CB28AB">
        <w:rPr>
          <w:sz w:val="16"/>
          <w:szCs w:val="16"/>
        </w:rPr>
        <w:t>The cyclical behavior of corporate financial ratios and Minsky</w:t>
      </w:r>
      <w:r>
        <w:rPr>
          <w:sz w:val="16"/>
          <w:szCs w:val="16"/>
        </w:rPr>
        <w:t>’</w:t>
      </w:r>
      <w:r w:rsidRPr="00CB28AB">
        <w:rPr>
          <w:sz w:val="16"/>
          <w:szCs w:val="16"/>
        </w:rPr>
        <w:t>s financial instability hypothesis</w:t>
      </w:r>
      <w:r>
        <w:rPr>
          <w:sz w:val="16"/>
          <w:szCs w:val="16"/>
        </w:rPr>
        <w:t>’</w:t>
      </w:r>
      <w:r w:rsidRPr="00CB28AB">
        <w:rPr>
          <w:sz w:val="16"/>
          <w:szCs w:val="16"/>
        </w:rPr>
        <w:t xml:space="preserve">, in W. Semmler (ed.), </w:t>
      </w:r>
      <w:r w:rsidRPr="00CB28AB">
        <w:rPr>
          <w:i/>
          <w:iCs/>
          <w:sz w:val="16"/>
          <w:szCs w:val="16"/>
        </w:rPr>
        <w:t>Financial Dynamics and Business Cycles</w:t>
      </w:r>
      <w:r w:rsidRPr="00CB28AB">
        <w:rPr>
          <w:sz w:val="16"/>
          <w:szCs w:val="16"/>
        </w:rPr>
        <w:t>, New York: M.E. Sharpe, pp.</w:t>
      </w:r>
      <w:r>
        <w:rPr>
          <w:sz w:val="16"/>
          <w:szCs w:val="16"/>
        </w:rPr>
        <w:t> </w:t>
      </w:r>
      <w:r w:rsidRPr="00CB28AB">
        <w:rPr>
          <w:sz w:val="16"/>
          <w:szCs w:val="16"/>
        </w:rPr>
        <w:t>203</w:t>
      </w:r>
      <w:r>
        <w:rPr>
          <w:sz w:val="16"/>
          <w:szCs w:val="16"/>
        </w:rPr>
        <w:t>–</w:t>
      </w:r>
      <w:r w:rsidRPr="00CB28AB">
        <w:rPr>
          <w:sz w:val="16"/>
          <w:szCs w:val="16"/>
        </w:rPr>
        <w:t>20.</w:t>
      </w:r>
    </w:p>
    <w:p w14:paraId="2D389FFC" w14:textId="77777777" w:rsidR="002F0144" w:rsidRPr="00CB28AB" w:rsidRDefault="002F0144" w:rsidP="00122AE6">
      <w:pPr>
        <w:rPr>
          <w:sz w:val="16"/>
          <w:szCs w:val="16"/>
        </w:rPr>
      </w:pPr>
      <w:r w:rsidRPr="00CB28AB">
        <w:rPr>
          <w:sz w:val="16"/>
          <w:szCs w:val="16"/>
        </w:rPr>
        <w:t xml:space="preserve">Schinasi, G.J. (2006), </w:t>
      </w:r>
      <w:r w:rsidRPr="00CB28AB">
        <w:rPr>
          <w:i/>
          <w:iCs/>
          <w:sz w:val="16"/>
          <w:szCs w:val="16"/>
        </w:rPr>
        <w:t>Safeguarding Financial Stability: Theory and Practice</w:t>
      </w:r>
      <w:r w:rsidRPr="00CB28AB">
        <w:rPr>
          <w:sz w:val="16"/>
          <w:szCs w:val="16"/>
        </w:rPr>
        <w:t>, Washington, DC: International Monetary Fund.</w:t>
      </w:r>
    </w:p>
    <w:p w14:paraId="705E60AF" w14:textId="77777777" w:rsidR="002F0144" w:rsidRPr="00CB28AB" w:rsidRDefault="002F0144" w:rsidP="00122AE6">
      <w:pPr>
        <w:rPr>
          <w:sz w:val="16"/>
          <w:szCs w:val="16"/>
        </w:rPr>
      </w:pPr>
      <w:r w:rsidRPr="00CB28AB">
        <w:rPr>
          <w:sz w:val="16"/>
          <w:szCs w:val="16"/>
        </w:rPr>
        <w:t xml:space="preserve">Schroeder, S.K. (2009), </w:t>
      </w:r>
      <w:r>
        <w:rPr>
          <w:sz w:val="16"/>
          <w:szCs w:val="16"/>
        </w:rPr>
        <w:t>‘</w:t>
      </w:r>
      <w:r w:rsidRPr="00CB28AB">
        <w:rPr>
          <w:sz w:val="16"/>
          <w:szCs w:val="16"/>
        </w:rPr>
        <w:t>Defining and detecting financial fragility: New Zealand</w:t>
      </w:r>
      <w:r>
        <w:rPr>
          <w:sz w:val="16"/>
          <w:szCs w:val="16"/>
        </w:rPr>
        <w:t>’</w:t>
      </w:r>
      <w:r w:rsidRPr="00CB28AB">
        <w:rPr>
          <w:sz w:val="16"/>
          <w:szCs w:val="16"/>
        </w:rPr>
        <w:t>s experience</w:t>
      </w:r>
      <w:r>
        <w:rPr>
          <w:sz w:val="16"/>
          <w:szCs w:val="16"/>
        </w:rPr>
        <w:t>’</w:t>
      </w:r>
      <w:r w:rsidRPr="00CB28AB">
        <w:rPr>
          <w:sz w:val="16"/>
          <w:szCs w:val="16"/>
        </w:rPr>
        <w:t xml:space="preserve">, </w:t>
      </w:r>
      <w:r w:rsidRPr="00CB28AB">
        <w:rPr>
          <w:i/>
          <w:sz w:val="16"/>
          <w:szCs w:val="16"/>
        </w:rPr>
        <w:t>International Journal of Social Economics</w:t>
      </w:r>
      <w:r w:rsidRPr="00CB28AB">
        <w:rPr>
          <w:sz w:val="16"/>
          <w:szCs w:val="16"/>
        </w:rPr>
        <w:t xml:space="preserve">, </w:t>
      </w:r>
      <w:r w:rsidRPr="00CB28AB">
        <w:rPr>
          <w:b/>
          <w:sz w:val="16"/>
          <w:szCs w:val="16"/>
        </w:rPr>
        <w:t>36</w:t>
      </w:r>
      <w:r w:rsidRPr="00CB28AB">
        <w:rPr>
          <w:sz w:val="16"/>
          <w:szCs w:val="16"/>
        </w:rPr>
        <w:t>(3), 287</w:t>
      </w:r>
      <w:r>
        <w:rPr>
          <w:sz w:val="16"/>
          <w:szCs w:val="16"/>
        </w:rPr>
        <w:t>–</w:t>
      </w:r>
      <w:r w:rsidRPr="00CB28AB">
        <w:rPr>
          <w:sz w:val="16"/>
          <w:szCs w:val="16"/>
        </w:rPr>
        <w:t>307.</w:t>
      </w:r>
    </w:p>
    <w:p w14:paraId="6FB0071E" w14:textId="77777777" w:rsidR="002F0144" w:rsidRPr="00CB28AB" w:rsidRDefault="002F0144" w:rsidP="00122AE6">
      <w:pPr>
        <w:rPr>
          <w:sz w:val="16"/>
          <w:szCs w:val="16"/>
        </w:rPr>
      </w:pPr>
      <w:r w:rsidRPr="00CB28AB">
        <w:rPr>
          <w:sz w:val="16"/>
          <w:szCs w:val="16"/>
        </w:rPr>
        <w:t xml:space="preserve">Shiller, R.J. (1999), </w:t>
      </w:r>
      <w:r>
        <w:rPr>
          <w:sz w:val="16"/>
          <w:szCs w:val="16"/>
        </w:rPr>
        <w:t>‘</w:t>
      </w:r>
      <w:r w:rsidRPr="00CB28AB">
        <w:rPr>
          <w:sz w:val="16"/>
          <w:szCs w:val="16"/>
        </w:rPr>
        <w:t>Human behavior and the efficiency of the financial system</w:t>
      </w:r>
      <w:r>
        <w:rPr>
          <w:sz w:val="16"/>
          <w:szCs w:val="16"/>
        </w:rPr>
        <w:t>’</w:t>
      </w:r>
      <w:r w:rsidRPr="00CB28AB">
        <w:rPr>
          <w:sz w:val="16"/>
          <w:szCs w:val="16"/>
        </w:rPr>
        <w:t xml:space="preserve">, in J.B. Taylor and M. Woodford (ed.), </w:t>
      </w:r>
      <w:r w:rsidRPr="00CB28AB">
        <w:rPr>
          <w:i/>
          <w:sz w:val="16"/>
          <w:szCs w:val="16"/>
        </w:rPr>
        <w:t>Handbook of Macroeconomics, Volume 1C</w:t>
      </w:r>
      <w:r w:rsidRPr="00CB28AB">
        <w:rPr>
          <w:sz w:val="16"/>
          <w:szCs w:val="16"/>
        </w:rPr>
        <w:t>, Amsterdam: North-Holland, pp.</w:t>
      </w:r>
      <w:r>
        <w:rPr>
          <w:sz w:val="16"/>
          <w:szCs w:val="16"/>
        </w:rPr>
        <w:t> </w:t>
      </w:r>
      <w:r w:rsidRPr="00CB28AB">
        <w:rPr>
          <w:sz w:val="16"/>
          <w:szCs w:val="16"/>
        </w:rPr>
        <w:t>1305</w:t>
      </w:r>
      <w:r>
        <w:rPr>
          <w:sz w:val="16"/>
          <w:szCs w:val="16"/>
        </w:rPr>
        <w:t>–</w:t>
      </w:r>
      <w:r w:rsidRPr="00CB28AB">
        <w:rPr>
          <w:sz w:val="16"/>
          <w:szCs w:val="16"/>
        </w:rPr>
        <w:t>40.</w:t>
      </w:r>
    </w:p>
    <w:p w14:paraId="4F0DF951" w14:textId="77777777" w:rsidR="002F0144" w:rsidRPr="00CB28AB" w:rsidRDefault="002F0144" w:rsidP="00122AE6">
      <w:pPr>
        <w:rPr>
          <w:sz w:val="16"/>
          <w:szCs w:val="16"/>
        </w:rPr>
      </w:pPr>
      <w:r w:rsidRPr="00CB28AB">
        <w:rPr>
          <w:sz w:val="16"/>
          <w:szCs w:val="16"/>
        </w:rPr>
        <w:t xml:space="preserve">Suarez, J. and O. Sussman (1997), </w:t>
      </w:r>
      <w:r>
        <w:rPr>
          <w:sz w:val="16"/>
          <w:szCs w:val="16"/>
        </w:rPr>
        <w:t>‘</w:t>
      </w:r>
      <w:r w:rsidRPr="00CB28AB">
        <w:rPr>
          <w:sz w:val="16"/>
          <w:szCs w:val="16"/>
        </w:rPr>
        <w:t>Endogenous cycles in a Stiglitz-Weiss economy</w:t>
      </w:r>
      <w:r>
        <w:rPr>
          <w:sz w:val="16"/>
          <w:szCs w:val="16"/>
        </w:rPr>
        <w:t>’</w:t>
      </w:r>
      <w:r w:rsidRPr="00CB28AB">
        <w:rPr>
          <w:sz w:val="16"/>
          <w:szCs w:val="16"/>
        </w:rPr>
        <w:t xml:space="preserve">, </w:t>
      </w:r>
      <w:r w:rsidRPr="00CB28AB">
        <w:rPr>
          <w:i/>
          <w:sz w:val="16"/>
          <w:szCs w:val="16"/>
        </w:rPr>
        <w:t>Journal of Economic Theory</w:t>
      </w:r>
      <w:r w:rsidRPr="00CB28AB">
        <w:rPr>
          <w:sz w:val="16"/>
          <w:szCs w:val="16"/>
        </w:rPr>
        <w:t xml:space="preserve">, </w:t>
      </w:r>
      <w:r w:rsidRPr="00CB28AB">
        <w:rPr>
          <w:b/>
          <w:sz w:val="16"/>
          <w:szCs w:val="16"/>
        </w:rPr>
        <w:t>76</w:t>
      </w:r>
      <w:r w:rsidRPr="00CB28AB">
        <w:rPr>
          <w:sz w:val="16"/>
          <w:szCs w:val="16"/>
        </w:rPr>
        <w:t>(1), 47</w:t>
      </w:r>
      <w:r>
        <w:rPr>
          <w:sz w:val="16"/>
          <w:szCs w:val="16"/>
        </w:rPr>
        <w:t>–</w:t>
      </w:r>
      <w:r w:rsidRPr="00CB28AB">
        <w:rPr>
          <w:sz w:val="16"/>
          <w:szCs w:val="16"/>
        </w:rPr>
        <w:t>71.</w:t>
      </w:r>
    </w:p>
    <w:p w14:paraId="66227629" w14:textId="77777777" w:rsidR="002F0144" w:rsidRPr="00CB28AB" w:rsidRDefault="002F0144" w:rsidP="00176E9A">
      <w:pPr>
        <w:rPr>
          <w:sz w:val="24"/>
          <w:szCs w:val="24"/>
        </w:rPr>
      </w:pPr>
      <w:r w:rsidRPr="00CB28AB">
        <w:rPr>
          <w:sz w:val="16"/>
          <w:szCs w:val="16"/>
        </w:rPr>
        <w:t xml:space="preserve">Suarez, J. and O. Sussman (2007), </w:t>
      </w:r>
      <w:r>
        <w:rPr>
          <w:sz w:val="16"/>
          <w:szCs w:val="16"/>
        </w:rPr>
        <w:t>‘</w:t>
      </w:r>
      <w:r w:rsidRPr="00CB28AB">
        <w:rPr>
          <w:sz w:val="16"/>
          <w:szCs w:val="16"/>
        </w:rPr>
        <w:t>Financial distress, bankruptcy law and the business cycle</w:t>
      </w:r>
      <w:r>
        <w:rPr>
          <w:sz w:val="16"/>
          <w:szCs w:val="16"/>
        </w:rPr>
        <w:t>’</w:t>
      </w:r>
      <w:r w:rsidRPr="00CB28AB">
        <w:rPr>
          <w:sz w:val="16"/>
          <w:szCs w:val="16"/>
        </w:rPr>
        <w:t xml:space="preserve">, </w:t>
      </w:r>
      <w:r w:rsidRPr="00CB28AB">
        <w:rPr>
          <w:i/>
          <w:sz w:val="16"/>
          <w:szCs w:val="16"/>
        </w:rPr>
        <w:t>Annals of Finance</w:t>
      </w:r>
      <w:r w:rsidRPr="00CB28AB">
        <w:rPr>
          <w:sz w:val="16"/>
          <w:szCs w:val="16"/>
        </w:rPr>
        <w:t xml:space="preserve">, </w:t>
      </w:r>
      <w:r w:rsidRPr="00CB28AB">
        <w:rPr>
          <w:b/>
          <w:sz w:val="16"/>
          <w:szCs w:val="16"/>
        </w:rPr>
        <w:t>3</w:t>
      </w:r>
      <w:r w:rsidRPr="00CB28AB">
        <w:rPr>
          <w:sz w:val="16"/>
          <w:szCs w:val="16"/>
        </w:rPr>
        <w:t>(1), 5</w:t>
      </w:r>
      <w:r>
        <w:rPr>
          <w:sz w:val="16"/>
          <w:szCs w:val="16"/>
        </w:rPr>
        <w:t>–</w:t>
      </w:r>
      <w:r w:rsidRPr="00CB28AB">
        <w:rPr>
          <w:sz w:val="16"/>
          <w:szCs w:val="16"/>
        </w:rPr>
        <w:t>35.</w:t>
      </w:r>
    </w:p>
    <w:sectPr w:rsidR="002F0144" w:rsidRPr="00CB28AB" w:rsidSect="001363F8">
      <w:headerReference w:type="even" r:id="rId8"/>
      <w:headerReference w:type="default" r:id="rId9"/>
      <w:footnotePr>
        <w:numRestart w:val="eachSect"/>
      </w:footnotePr>
      <w:endnotePr>
        <w:numFmt w:val="decimal"/>
        <w:numRestart w:val="eachSect"/>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274517" w14:textId="77777777" w:rsidR="002F0144" w:rsidRDefault="002F0144" w:rsidP="006B77CD">
      <w:pPr>
        <w:spacing w:line="240" w:lineRule="auto"/>
      </w:pPr>
      <w:r>
        <w:separator/>
      </w:r>
    </w:p>
  </w:endnote>
  <w:endnote w:type="continuationSeparator" w:id="0">
    <w:p w14:paraId="2135B474" w14:textId="77777777" w:rsidR="002F0144" w:rsidRDefault="002F0144" w:rsidP="006B77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20005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
    <w:altName w:val="Times New Roman"/>
    <w:panose1 w:val="00000000000000000000"/>
    <w:charset w:val="50"/>
    <w:family w:val="auto"/>
    <w:notTrueType/>
    <w:pitch w:val="variable"/>
    <w:sig w:usb0="00000001" w:usb1="00000000" w:usb2="00000000" w:usb3="00000000" w:csb0="0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Futura Book/Demi Bold">
    <w:altName w:val="Cambria"/>
    <w:panose1 w:val="00000000000000000000"/>
    <w:charset w:val="00"/>
    <w:family w:val="auto"/>
    <w:notTrueType/>
    <w:pitch w:val="default"/>
    <w:sig w:usb0="00000003" w:usb1="00000000" w:usb2="00000000" w:usb3="00000000" w:csb0="00000001" w:csb1="00000000"/>
  </w:font>
  <w:font w:name="SimSun">
    <w:altName w:val="??¨¬?"/>
    <w:charset w:val="86"/>
    <w:family w:val="auto"/>
    <w:pitch w:val="variable"/>
    <w:sig w:usb0="00000003" w:usb1="288F0000" w:usb2="00000016" w:usb3="00000000" w:csb0="00040001" w:csb1="00000000"/>
  </w:font>
  <w:font w:name="Verdana">
    <w:panose1 w:val="020B060403050404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Book Antiqua">
    <w:panose1 w:val="020406020503050303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 Pro W3">
    <w:altName w:val="MS Mincho"/>
    <w:panose1 w:val="00000000000000000000"/>
    <w:charset w:val="80"/>
    <w:family w:val="auto"/>
    <w:notTrueType/>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1BE5A6" w14:textId="77777777" w:rsidR="002F0144" w:rsidRDefault="002F0144" w:rsidP="006B77CD">
      <w:pPr>
        <w:spacing w:line="240" w:lineRule="auto"/>
      </w:pPr>
      <w:r>
        <w:separator/>
      </w:r>
    </w:p>
  </w:footnote>
  <w:footnote w:type="continuationSeparator" w:id="0">
    <w:p w14:paraId="47AAE179" w14:textId="77777777" w:rsidR="002F0144" w:rsidRDefault="002F0144" w:rsidP="006B77CD">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6F51DE" w14:textId="77777777" w:rsidR="002F0144" w:rsidRDefault="002F0144" w:rsidP="00107E8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6A4B812" w14:textId="77777777" w:rsidR="002F0144" w:rsidRDefault="002F0144" w:rsidP="00CB28AB">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F237B5" w14:textId="77777777" w:rsidR="002F0144" w:rsidRDefault="002F0144" w:rsidP="00107E8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B28AB">
      <w:rPr>
        <w:rStyle w:val="PageNumber"/>
        <w:noProof/>
      </w:rPr>
      <w:t>1</w:t>
    </w:r>
    <w:r>
      <w:rPr>
        <w:rStyle w:val="PageNumber"/>
      </w:rPr>
      <w:fldChar w:fldCharType="end"/>
    </w:r>
  </w:p>
  <w:p w14:paraId="6F4FD977" w14:textId="77777777" w:rsidR="002F0144" w:rsidRDefault="002F0144" w:rsidP="00CB28AB">
    <w:pPr>
      <w:pStyle w:val="Header"/>
      <w:ind w:right="360"/>
      <w:jc w:val="right"/>
    </w:pPr>
  </w:p>
  <w:p w14:paraId="6556ABB4" w14:textId="77777777" w:rsidR="002F0144" w:rsidRDefault="002F014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C1E428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67407676"/>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BCAA77F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29E6E6B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51D60C0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F32BD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8FC3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BB2F61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218078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D1ED8EE"/>
    <w:lvl w:ilvl="0">
      <w:start w:val="1"/>
      <w:numFmt w:val="bullet"/>
      <w:lvlText w:val=""/>
      <w:lvlJc w:val="left"/>
      <w:pPr>
        <w:tabs>
          <w:tab w:val="num" w:pos="360"/>
        </w:tabs>
        <w:ind w:left="360" w:hanging="360"/>
      </w:pPr>
      <w:rPr>
        <w:rFonts w:ascii="Symbol" w:hAnsi="Symbol" w:hint="default"/>
      </w:rPr>
    </w:lvl>
  </w:abstractNum>
  <w:abstractNum w:abstractNumId="10">
    <w:nsid w:val="01E4360A"/>
    <w:multiLevelType w:val="hybridMultilevel"/>
    <w:tmpl w:val="D88C29EC"/>
    <w:lvl w:ilvl="0" w:tplc="F7C629B8">
      <w:start w:val="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09EA0700"/>
    <w:multiLevelType w:val="multilevel"/>
    <w:tmpl w:val="A9F47340"/>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0A50438F"/>
    <w:multiLevelType w:val="hybridMultilevel"/>
    <w:tmpl w:val="D4185772"/>
    <w:lvl w:ilvl="0" w:tplc="84727A5E">
      <w:start w:val="8"/>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0ACA13EC"/>
    <w:multiLevelType w:val="hybridMultilevel"/>
    <w:tmpl w:val="FF90BB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E906318"/>
    <w:multiLevelType w:val="hybridMultilevel"/>
    <w:tmpl w:val="459CC884"/>
    <w:lvl w:ilvl="0" w:tplc="D61A5E7C">
      <w:start w:val="1384"/>
      <w:numFmt w:val="bullet"/>
      <w:lvlText w:val=""/>
      <w:lvlJc w:val="left"/>
      <w:pPr>
        <w:tabs>
          <w:tab w:val="num" w:pos="720"/>
        </w:tabs>
        <w:ind w:left="720" w:hanging="360"/>
      </w:pPr>
      <w:rPr>
        <w:rFonts w:ascii="Symbol" w:eastAsia="Times New Roman"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10DF77D8"/>
    <w:multiLevelType w:val="hybridMultilevel"/>
    <w:tmpl w:val="1E90CC58"/>
    <w:lvl w:ilvl="0" w:tplc="4D22916A">
      <w:start w:val="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131672F6"/>
    <w:multiLevelType w:val="hybridMultilevel"/>
    <w:tmpl w:val="773E1FE6"/>
    <w:lvl w:ilvl="0" w:tplc="AC6EACFA">
      <w:start w:val="1"/>
      <w:numFmt w:val="upperRoman"/>
      <w:lvlText w:val="%1."/>
      <w:lvlJc w:val="left"/>
      <w:pPr>
        <w:ind w:left="1080" w:hanging="72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17">
    <w:nsid w:val="13EC07BD"/>
    <w:multiLevelType w:val="hybridMultilevel"/>
    <w:tmpl w:val="5A58479C"/>
    <w:lvl w:ilvl="0" w:tplc="5122EBD2">
      <w:start w:val="7"/>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14DA2856"/>
    <w:multiLevelType w:val="hybridMultilevel"/>
    <w:tmpl w:val="928EFCD8"/>
    <w:lvl w:ilvl="0" w:tplc="FB60498A">
      <w:start w:val="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15A63FF2"/>
    <w:multiLevelType w:val="hybridMultilevel"/>
    <w:tmpl w:val="4630244E"/>
    <w:lvl w:ilvl="0" w:tplc="79A29980">
      <w:start w:val="19"/>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0576F71"/>
    <w:multiLevelType w:val="multilevel"/>
    <w:tmpl w:val="8CAC08BA"/>
    <w:lvl w:ilvl="0">
      <w:start w:val="1"/>
      <w:numFmt w:val="decimal"/>
      <w:pStyle w:val="Heading1"/>
      <w:lvlText w:val="%1"/>
      <w:lvlJc w:val="left"/>
      <w:pPr>
        <w:ind w:left="454" w:hanging="454"/>
      </w:pPr>
      <w:rPr>
        <w:rFonts w:cs="Times New Roman" w:hint="default"/>
        <w:sz w:val="28"/>
        <w:szCs w:val="28"/>
      </w:rPr>
    </w:lvl>
    <w:lvl w:ilvl="1">
      <w:start w:val="1"/>
      <w:numFmt w:val="none"/>
      <w:pStyle w:val="Heading2"/>
      <w:lvlText w:val=""/>
      <w:lvlJc w:val="left"/>
      <w:rPr>
        <w:rFonts w:cs="Times New Roman" w:hint="default"/>
      </w:rPr>
    </w:lvl>
    <w:lvl w:ilvl="2">
      <w:start w:val="1"/>
      <w:numFmt w:val="none"/>
      <w:pStyle w:val="Heading3"/>
      <w:lvlText w:val=""/>
      <w:lvlJc w:val="left"/>
      <w:rPr>
        <w:rFonts w:cs="Times New Roman" w:hint="default"/>
      </w:rPr>
    </w:lvl>
    <w:lvl w:ilvl="3">
      <w:start w:val="1"/>
      <w:numFmt w:val="none"/>
      <w:pStyle w:val="Heading4"/>
      <w:lvlText w:val=""/>
      <w:lvlJc w:val="left"/>
      <w:rPr>
        <w:rFonts w:cs="Times New Roman" w:hint="default"/>
      </w:rPr>
    </w:lvl>
    <w:lvl w:ilvl="4">
      <w:start w:val="1"/>
      <w:numFmt w:val="none"/>
      <w:pStyle w:val="Heading5"/>
      <w:lvlText w:val=""/>
      <w:lvlJc w:val="left"/>
      <w:rPr>
        <w:rFonts w:cs="Times New Roman" w:hint="default"/>
      </w:rPr>
    </w:lvl>
    <w:lvl w:ilvl="5">
      <w:start w:val="1"/>
      <w:numFmt w:val="none"/>
      <w:pStyle w:val="Heading6"/>
      <w:lvlText w:val=""/>
      <w:lvlJc w:val="left"/>
      <w:rPr>
        <w:rFonts w:cs="Times New Roman" w:hint="default"/>
      </w:rPr>
    </w:lvl>
    <w:lvl w:ilvl="6">
      <w:start w:val="1"/>
      <w:numFmt w:val="none"/>
      <w:pStyle w:val="Heading7"/>
      <w:lvlText w:val=""/>
      <w:lvlJc w:val="left"/>
      <w:rPr>
        <w:rFonts w:cs="Times New Roman" w:hint="default"/>
      </w:rPr>
    </w:lvl>
    <w:lvl w:ilvl="7">
      <w:start w:val="1"/>
      <w:numFmt w:val="none"/>
      <w:pStyle w:val="Heading8"/>
      <w:lvlText w:val=""/>
      <w:lvlJc w:val="left"/>
      <w:rPr>
        <w:rFonts w:cs="Times New Roman" w:hint="default"/>
      </w:rPr>
    </w:lvl>
    <w:lvl w:ilvl="8">
      <w:start w:val="1"/>
      <w:numFmt w:val="none"/>
      <w:pStyle w:val="Heading9"/>
      <w:lvlText w:val=""/>
      <w:lvlJc w:val="left"/>
      <w:rPr>
        <w:rFonts w:cs="Times New Roman" w:hint="default"/>
      </w:rPr>
    </w:lvl>
  </w:abstractNum>
  <w:abstractNum w:abstractNumId="21">
    <w:nsid w:val="21061390"/>
    <w:multiLevelType w:val="hybridMultilevel"/>
    <w:tmpl w:val="923A35A4"/>
    <w:lvl w:ilvl="0" w:tplc="C89A7A48">
      <w:start w:val="7"/>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248C4243"/>
    <w:multiLevelType w:val="hybridMultilevel"/>
    <w:tmpl w:val="9BC09528"/>
    <w:lvl w:ilvl="0" w:tplc="E6A60EE4">
      <w:start w:val="19"/>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26083691"/>
    <w:multiLevelType w:val="hybridMultilevel"/>
    <w:tmpl w:val="5FBAD41C"/>
    <w:lvl w:ilvl="0" w:tplc="39C83C58">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2B5D4C8A"/>
    <w:multiLevelType w:val="hybridMultilevel"/>
    <w:tmpl w:val="9C9CBDBA"/>
    <w:lvl w:ilvl="0" w:tplc="528C35BA">
      <w:start w:val="19"/>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347644BC"/>
    <w:multiLevelType w:val="hybridMultilevel"/>
    <w:tmpl w:val="BBA2EE1C"/>
    <w:lvl w:ilvl="0" w:tplc="00090409">
      <w:start w:val="1"/>
      <w:numFmt w:val="bullet"/>
      <w:lvlText w:val=""/>
      <w:lvlJc w:val="left"/>
      <w:pPr>
        <w:tabs>
          <w:tab w:val="num" w:pos="816"/>
        </w:tabs>
        <w:ind w:left="816" w:hanging="360"/>
      </w:pPr>
      <w:rPr>
        <w:rFonts w:ascii="Wingdings" w:hAnsi="Wingdings" w:hint="default"/>
      </w:rPr>
    </w:lvl>
    <w:lvl w:ilvl="1" w:tplc="00030409">
      <w:start w:val="1"/>
      <w:numFmt w:val="bullet"/>
      <w:lvlText w:val="o"/>
      <w:lvlJc w:val="left"/>
      <w:pPr>
        <w:tabs>
          <w:tab w:val="num" w:pos="1536"/>
        </w:tabs>
        <w:ind w:left="1536" w:hanging="360"/>
      </w:pPr>
      <w:rPr>
        <w:rFonts w:ascii="Courier New" w:hAnsi="Courier New" w:hint="default"/>
      </w:rPr>
    </w:lvl>
    <w:lvl w:ilvl="2" w:tplc="00050409" w:tentative="1">
      <w:start w:val="1"/>
      <w:numFmt w:val="bullet"/>
      <w:lvlText w:val=""/>
      <w:lvlJc w:val="left"/>
      <w:pPr>
        <w:tabs>
          <w:tab w:val="num" w:pos="2256"/>
        </w:tabs>
        <w:ind w:left="2256" w:hanging="360"/>
      </w:pPr>
      <w:rPr>
        <w:rFonts w:ascii="Wingdings" w:hAnsi="Wingdings" w:hint="default"/>
      </w:rPr>
    </w:lvl>
    <w:lvl w:ilvl="3" w:tplc="00010409" w:tentative="1">
      <w:start w:val="1"/>
      <w:numFmt w:val="bullet"/>
      <w:lvlText w:val=""/>
      <w:lvlJc w:val="left"/>
      <w:pPr>
        <w:tabs>
          <w:tab w:val="num" w:pos="2976"/>
        </w:tabs>
        <w:ind w:left="2976" w:hanging="360"/>
      </w:pPr>
      <w:rPr>
        <w:rFonts w:ascii="Symbol" w:hAnsi="Symbol" w:hint="default"/>
      </w:rPr>
    </w:lvl>
    <w:lvl w:ilvl="4" w:tplc="00030409" w:tentative="1">
      <w:start w:val="1"/>
      <w:numFmt w:val="bullet"/>
      <w:lvlText w:val="o"/>
      <w:lvlJc w:val="left"/>
      <w:pPr>
        <w:tabs>
          <w:tab w:val="num" w:pos="3696"/>
        </w:tabs>
        <w:ind w:left="3696" w:hanging="360"/>
      </w:pPr>
      <w:rPr>
        <w:rFonts w:ascii="Courier New" w:hAnsi="Courier New" w:hint="default"/>
      </w:rPr>
    </w:lvl>
    <w:lvl w:ilvl="5" w:tplc="00050409" w:tentative="1">
      <w:start w:val="1"/>
      <w:numFmt w:val="bullet"/>
      <w:lvlText w:val=""/>
      <w:lvlJc w:val="left"/>
      <w:pPr>
        <w:tabs>
          <w:tab w:val="num" w:pos="4416"/>
        </w:tabs>
        <w:ind w:left="4416" w:hanging="360"/>
      </w:pPr>
      <w:rPr>
        <w:rFonts w:ascii="Wingdings" w:hAnsi="Wingdings" w:hint="default"/>
      </w:rPr>
    </w:lvl>
    <w:lvl w:ilvl="6" w:tplc="00010409" w:tentative="1">
      <w:start w:val="1"/>
      <w:numFmt w:val="bullet"/>
      <w:lvlText w:val=""/>
      <w:lvlJc w:val="left"/>
      <w:pPr>
        <w:tabs>
          <w:tab w:val="num" w:pos="5136"/>
        </w:tabs>
        <w:ind w:left="5136" w:hanging="360"/>
      </w:pPr>
      <w:rPr>
        <w:rFonts w:ascii="Symbol" w:hAnsi="Symbol" w:hint="default"/>
      </w:rPr>
    </w:lvl>
    <w:lvl w:ilvl="7" w:tplc="00030409" w:tentative="1">
      <w:start w:val="1"/>
      <w:numFmt w:val="bullet"/>
      <w:lvlText w:val="o"/>
      <w:lvlJc w:val="left"/>
      <w:pPr>
        <w:tabs>
          <w:tab w:val="num" w:pos="5856"/>
        </w:tabs>
        <w:ind w:left="5856" w:hanging="360"/>
      </w:pPr>
      <w:rPr>
        <w:rFonts w:ascii="Courier New" w:hAnsi="Courier New" w:hint="default"/>
      </w:rPr>
    </w:lvl>
    <w:lvl w:ilvl="8" w:tplc="00050409" w:tentative="1">
      <w:start w:val="1"/>
      <w:numFmt w:val="bullet"/>
      <w:lvlText w:val=""/>
      <w:lvlJc w:val="left"/>
      <w:pPr>
        <w:tabs>
          <w:tab w:val="num" w:pos="6576"/>
        </w:tabs>
        <w:ind w:left="6576" w:hanging="360"/>
      </w:pPr>
      <w:rPr>
        <w:rFonts w:ascii="Wingdings" w:hAnsi="Wingdings" w:hint="default"/>
      </w:rPr>
    </w:lvl>
  </w:abstractNum>
  <w:abstractNum w:abstractNumId="26">
    <w:nsid w:val="34A300B6"/>
    <w:multiLevelType w:val="hybridMultilevel"/>
    <w:tmpl w:val="50CE588E"/>
    <w:lvl w:ilvl="0" w:tplc="023061F4">
      <w:start w:val="7"/>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35887076"/>
    <w:multiLevelType w:val="hybridMultilevel"/>
    <w:tmpl w:val="F6C0E21A"/>
    <w:lvl w:ilvl="0" w:tplc="FF0AEEDC">
      <w:start w:val="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39732B93"/>
    <w:multiLevelType w:val="hybridMultilevel"/>
    <w:tmpl w:val="67743C90"/>
    <w:lvl w:ilvl="0" w:tplc="C2C24382">
      <w:start w:val="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4638064A"/>
    <w:multiLevelType w:val="hybridMultilevel"/>
    <w:tmpl w:val="DE7AA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9D81D98"/>
    <w:multiLevelType w:val="multilevel"/>
    <w:tmpl w:val="EFBE0C0C"/>
    <w:lvl w:ilvl="0">
      <w:start w:val="4"/>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nsid w:val="4EE7409D"/>
    <w:multiLevelType w:val="hybridMultilevel"/>
    <w:tmpl w:val="5BA8B006"/>
    <w:lvl w:ilvl="0" w:tplc="ADB81252">
      <w:start w:val="2"/>
      <w:numFmt w:val="upperRoman"/>
      <w:lvlText w:val="%1."/>
      <w:lvlJc w:val="left"/>
      <w:pPr>
        <w:ind w:left="1080" w:hanging="72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32">
    <w:nsid w:val="5260697A"/>
    <w:multiLevelType w:val="hybridMultilevel"/>
    <w:tmpl w:val="A0C6341C"/>
    <w:lvl w:ilvl="0" w:tplc="DDEAFBE2">
      <w:start w:val="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nsid w:val="530D585F"/>
    <w:multiLevelType w:val="hybridMultilevel"/>
    <w:tmpl w:val="CB7E35BC"/>
    <w:lvl w:ilvl="0" w:tplc="610463E6">
      <w:start w:val="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5AC7474D"/>
    <w:multiLevelType w:val="hybridMultilevel"/>
    <w:tmpl w:val="73A60038"/>
    <w:lvl w:ilvl="0" w:tplc="5B844702">
      <w:start w:val="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1E267C2"/>
    <w:multiLevelType w:val="hybridMultilevel"/>
    <w:tmpl w:val="7CE273FC"/>
    <w:lvl w:ilvl="0" w:tplc="763C7E16">
      <w:start w:val="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63BE35D7"/>
    <w:multiLevelType w:val="hybridMultilevel"/>
    <w:tmpl w:val="54DAB3A4"/>
    <w:lvl w:ilvl="0" w:tplc="DF347F68">
      <w:start w:val="6"/>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6DF8192C"/>
    <w:multiLevelType w:val="hybridMultilevel"/>
    <w:tmpl w:val="E018979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8">
    <w:nsid w:val="6F346F3A"/>
    <w:multiLevelType w:val="hybridMultilevel"/>
    <w:tmpl w:val="A634918A"/>
    <w:lvl w:ilvl="0" w:tplc="00090409">
      <w:start w:val="1"/>
      <w:numFmt w:val="bullet"/>
      <w:lvlText w:val=""/>
      <w:lvlJc w:val="left"/>
      <w:pPr>
        <w:tabs>
          <w:tab w:val="num" w:pos="816"/>
        </w:tabs>
        <w:ind w:left="816" w:hanging="360"/>
      </w:pPr>
      <w:rPr>
        <w:rFonts w:ascii="Wingdings" w:hAnsi="Wingdings" w:hint="default"/>
      </w:rPr>
    </w:lvl>
    <w:lvl w:ilvl="1" w:tplc="00030409" w:tentative="1">
      <w:start w:val="1"/>
      <w:numFmt w:val="bullet"/>
      <w:lvlText w:val="o"/>
      <w:lvlJc w:val="left"/>
      <w:pPr>
        <w:tabs>
          <w:tab w:val="num" w:pos="1536"/>
        </w:tabs>
        <w:ind w:left="1536" w:hanging="360"/>
      </w:pPr>
      <w:rPr>
        <w:rFonts w:ascii="Courier New" w:hAnsi="Courier New" w:hint="default"/>
      </w:rPr>
    </w:lvl>
    <w:lvl w:ilvl="2" w:tplc="00050409" w:tentative="1">
      <w:start w:val="1"/>
      <w:numFmt w:val="bullet"/>
      <w:lvlText w:val=""/>
      <w:lvlJc w:val="left"/>
      <w:pPr>
        <w:tabs>
          <w:tab w:val="num" w:pos="2256"/>
        </w:tabs>
        <w:ind w:left="2256" w:hanging="360"/>
      </w:pPr>
      <w:rPr>
        <w:rFonts w:ascii="Wingdings" w:hAnsi="Wingdings" w:hint="default"/>
      </w:rPr>
    </w:lvl>
    <w:lvl w:ilvl="3" w:tplc="00010409" w:tentative="1">
      <w:start w:val="1"/>
      <w:numFmt w:val="bullet"/>
      <w:lvlText w:val=""/>
      <w:lvlJc w:val="left"/>
      <w:pPr>
        <w:tabs>
          <w:tab w:val="num" w:pos="2976"/>
        </w:tabs>
        <w:ind w:left="2976" w:hanging="360"/>
      </w:pPr>
      <w:rPr>
        <w:rFonts w:ascii="Symbol" w:hAnsi="Symbol" w:hint="default"/>
      </w:rPr>
    </w:lvl>
    <w:lvl w:ilvl="4" w:tplc="00030409" w:tentative="1">
      <w:start w:val="1"/>
      <w:numFmt w:val="bullet"/>
      <w:lvlText w:val="o"/>
      <w:lvlJc w:val="left"/>
      <w:pPr>
        <w:tabs>
          <w:tab w:val="num" w:pos="3696"/>
        </w:tabs>
        <w:ind w:left="3696" w:hanging="360"/>
      </w:pPr>
      <w:rPr>
        <w:rFonts w:ascii="Courier New" w:hAnsi="Courier New" w:hint="default"/>
      </w:rPr>
    </w:lvl>
    <w:lvl w:ilvl="5" w:tplc="00050409" w:tentative="1">
      <w:start w:val="1"/>
      <w:numFmt w:val="bullet"/>
      <w:lvlText w:val=""/>
      <w:lvlJc w:val="left"/>
      <w:pPr>
        <w:tabs>
          <w:tab w:val="num" w:pos="4416"/>
        </w:tabs>
        <w:ind w:left="4416" w:hanging="360"/>
      </w:pPr>
      <w:rPr>
        <w:rFonts w:ascii="Wingdings" w:hAnsi="Wingdings" w:hint="default"/>
      </w:rPr>
    </w:lvl>
    <w:lvl w:ilvl="6" w:tplc="00010409" w:tentative="1">
      <w:start w:val="1"/>
      <w:numFmt w:val="bullet"/>
      <w:lvlText w:val=""/>
      <w:lvlJc w:val="left"/>
      <w:pPr>
        <w:tabs>
          <w:tab w:val="num" w:pos="5136"/>
        </w:tabs>
        <w:ind w:left="5136" w:hanging="360"/>
      </w:pPr>
      <w:rPr>
        <w:rFonts w:ascii="Symbol" w:hAnsi="Symbol" w:hint="default"/>
      </w:rPr>
    </w:lvl>
    <w:lvl w:ilvl="7" w:tplc="00030409" w:tentative="1">
      <w:start w:val="1"/>
      <w:numFmt w:val="bullet"/>
      <w:lvlText w:val="o"/>
      <w:lvlJc w:val="left"/>
      <w:pPr>
        <w:tabs>
          <w:tab w:val="num" w:pos="5856"/>
        </w:tabs>
        <w:ind w:left="5856" w:hanging="360"/>
      </w:pPr>
      <w:rPr>
        <w:rFonts w:ascii="Courier New" w:hAnsi="Courier New" w:hint="default"/>
      </w:rPr>
    </w:lvl>
    <w:lvl w:ilvl="8" w:tplc="00050409" w:tentative="1">
      <w:start w:val="1"/>
      <w:numFmt w:val="bullet"/>
      <w:lvlText w:val=""/>
      <w:lvlJc w:val="left"/>
      <w:pPr>
        <w:tabs>
          <w:tab w:val="num" w:pos="6576"/>
        </w:tabs>
        <w:ind w:left="6576" w:hanging="360"/>
      </w:pPr>
      <w:rPr>
        <w:rFonts w:ascii="Wingdings" w:hAnsi="Wingdings" w:hint="default"/>
      </w:rPr>
    </w:lvl>
  </w:abstractNum>
  <w:abstractNum w:abstractNumId="39">
    <w:nsid w:val="728E0609"/>
    <w:multiLevelType w:val="hybridMultilevel"/>
    <w:tmpl w:val="147EA8C2"/>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0">
    <w:nsid w:val="74095CFE"/>
    <w:multiLevelType w:val="multilevel"/>
    <w:tmpl w:val="0D1092B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1">
    <w:nsid w:val="791D0D24"/>
    <w:multiLevelType w:val="hybridMultilevel"/>
    <w:tmpl w:val="B04C061A"/>
    <w:lvl w:ilvl="0" w:tplc="D6FAD1FE">
      <w:start w:val="1"/>
      <w:numFmt w:val="decimal"/>
      <w:lvlText w:val="(%1)"/>
      <w:lvlJc w:val="left"/>
      <w:pPr>
        <w:ind w:left="744" w:hanging="384"/>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2">
    <w:nsid w:val="79A335C4"/>
    <w:multiLevelType w:val="hybridMultilevel"/>
    <w:tmpl w:val="06DA325E"/>
    <w:lvl w:ilvl="0" w:tplc="601C7B06">
      <w:start w:val="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37"/>
  </w:num>
  <w:num w:numId="2">
    <w:abstractNumId w:val="39"/>
  </w:num>
  <w:num w:numId="3">
    <w:abstractNumId w:val="13"/>
  </w:num>
  <w:num w:numId="4">
    <w:abstractNumId w:val="25"/>
  </w:num>
  <w:num w:numId="5">
    <w:abstractNumId w:val="38"/>
  </w:num>
  <w:num w:numId="6">
    <w:abstractNumId w:val="16"/>
  </w:num>
  <w:num w:numId="7">
    <w:abstractNumId w:val="31"/>
  </w:num>
  <w:num w:numId="8">
    <w:abstractNumId w:val="14"/>
  </w:num>
  <w:num w:numId="9">
    <w:abstractNumId w:val="41"/>
  </w:num>
  <w:num w:numId="10">
    <w:abstractNumId w:val="11"/>
  </w:num>
  <w:num w:numId="11">
    <w:abstractNumId w:val="40"/>
  </w:num>
  <w:num w:numId="12">
    <w:abstractNumId w:val="30"/>
  </w:num>
  <w:num w:numId="13">
    <w:abstractNumId w:val="22"/>
  </w:num>
  <w:num w:numId="14">
    <w:abstractNumId w:val="19"/>
  </w:num>
  <w:num w:numId="15">
    <w:abstractNumId w:val="24"/>
  </w:num>
  <w:num w:numId="16">
    <w:abstractNumId w:val="23"/>
  </w:num>
  <w:num w:numId="17">
    <w:abstractNumId w:val="20"/>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num>
  <w:num w:numId="20">
    <w:abstractNumId w:val="10"/>
  </w:num>
  <w:num w:numId="21">
    <w:abstractNumId w:val="15"/>
  </w:num>
  <w:num w:numId="22">
    <w:abstractNumId w:val="27"/>
  </w:num>
  <w:num w:numId="23">
    <w:abstractNumId w:val="34"/>
  </w:num>
  <w:num w:numId="24">
    <w:abstractNumId w:val="33"/>
  </w:num>
  <w:num w:numId="25">
    <w:abstractNumId w:val="18"/>
  </w:num>
  <w:num w:numId="26">
    <w:abstractNumId w:val="28"/>
  </w:num>
  <w:num w:numId="27">
    <w:abstractNumId w:val="32"/>
  </w:num>
  <w:num w:numId="28">
    <w:abstractNumId w:val="35"/>
  </w:num>
  <w:num w:numId="29">
    <w:abstractNumId w:val="42"/>
  </w:num>
  <w:num w:numId="30">
    <w:abstractNumId w:val="36"/>
  </w:num>
  <w:num w:numId="31">
    <w:abstractNumId w:val="26"/>
  </w:num>
  <w:num w:numId="32">
    <w:abstractNumId w:val="21"/>
  </w:num>
  <w:num w:numId="33">
    <w:abstractNumId w:val="17"/>
  </w:num>
  <w:num w:numId="34">
    <w:abstractNumId w:val="12"/>
  </w:num>
  <w:num w:numId="35">
    <w:abstractNumId w:val="9"/>
  </w:num>
  <w:num w:numId="36">
    <w:abstractNumId w:val="7"/>
  </w:num>
  <w:num w:numId="37">
    <w:abstractNumId w:val="6"/>
  </w:num>
  <w:num w:numId="38">
    <w:abstractNumId w:val="5"/>
  </w:num>
  <w:num w:numId="39">
    <w:abstractNumId w:val="4"/>
  </w:num>
  <w:num w:numId="40">
    <w:abstractNumId w:val="8"/>
  </w:num>
  <w:num w:numId="41">
    <w:abstractNumId w:val="3"/>
  </w:num>
  <w:num w:numId="42">
    <w:abstractNumId w:val="2"/>
  </w:num>
  <w:num w:numId="43">
    <w:abstractNumId w:val="1"/>
  </w:num>
  <w:num w:numId="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trackRevisions/>
  <w:defaultTabStop w:val="720"/>
  <w:characterSpacingControl w:val="doNotCompress"/>
  <w:footnotePr>
    <w:numRestart w:val="eachSect"/>
    <w:footnote w:id="-1"/>
    <w:footnote w:id="0"/>
  </w:footnotePr>
  <w:endnotePr>
    <w:pos w:val="sectEnd"/>
    <w:numFmt w:val="decimal"/>
    <w:numRestart w:val="eachSect"/>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77CD"/>
    <w:rsid w:val="000231B5"/>
    <w:rsid w:val="00025310"/>
    <w:rsid w:val="00032775"/>
    <w:rsid w:val="00033AD1"/>
    <w:rsid w:val="000359B8"/>
    <w:rsid w:val="000421AB"/>
    <w:rsid w:val="00043936"/>
    <w:rsid w:val="00051023"/>
    <w:rsid w:val="00051269"/>
    <w:rsid w:val="00056FE3"/>
    <w:rsid w:val="00057F12"/>
    <w:rsid w:val="00063EA5"/>
    <w:rsid w:val="00066CCA"/>
    <w:rsid w:val="000721C9"/>
    <w:rsid w:val="000814A5"/>
    <w:rsid w:val="00087E29"/>
    <w:rsid w:val="000963D7"/>
    <w:rsid w:val="000A6834"/>
    <w:rsid w:val="000C6B7E"/>
    <w:rsid w:val="000C7600"/>
    <w:rsid w:val="000D2A43"/>
    <w:rsid w:val="000D2BE6"/>
    <w:rsid w:val="000E4763"/>
    <w:rsid w:val="000E74D8"/>
    <w:rsid w:val="000F1358"/>
    <w:rsid w:val="000F2213"/>
    <w:rsid w:val="00105088"/>
    <w:rsid w:val="00107E85"/>
    <w:rsid w:val="001129AD"/>
    <w:rsid w:val="00112CCB"/>
    <w:rsid w:val="00121761"/>
    <w:rsid w:val="00122AE6"/>
    <w:rsid w:val="00125834"/>
    <w:rsid w:val="00126053"/>
    <w:rsid w:val="00131FCE"/>
    <w:rsid w:val="00133047"/>
    <w:rsid w:val="0013311C"/>
    <w:rsid w:val="001363F8"/>
    <w:rsid w:val="00136D52"/>
    <w:rsid w:val="00151E16"/>
    <w:rsid w:val="001630B3"/>
    <w:rsid w:val="00170082"/>
    <w:rsid w:val="0017044C"/>
    <w:rsid w:val="00173EE1"/>
    <w:rsid w:val="00176E9A"/>
    <w:rsid w:val="00191237"/>
    <w:rsid w:val="00195A74"/>
    <w:rsid w:val="0019704D"/>
    <w:rsid w:val="001A1541"/>
    <w:rsid w:val="001A292D"/>
    <w:rsid w:val="001A3083"/>
    <w:rsid w:val="001A365E"/>
    <w:rsid w:val="001A6168"/>
    <w:rsid w:val="001B12E6"/>
    <w:rsid w:val="001B2DA0"/>
    <w:rsid w:val="001C4971"/>
    <w:rsid w:val="001C7B66"/>
    <w:rsid w:val="001D3724"/>
    <w:rsid w:val="001D3B1F"/>
    <w:rsid w:val="00205A76"/>
    <w:rsid w:val="002114E6"/>
    <w:rsid w:val="00226A28"/>
    <w:rsid w:val="00234F07"/>
    <w:rsid w:val="0024216D"/>
    <w:rsid w:val="002437BF"/>
    <w:rsid w:val="0024468E"/>
    <w:rsid w:val="00244E11"/>
    <w:rsid w:val="00245ECA"/>
    <w:rsid w:val="00246DF3"/>
    <w:rsid w:val="00252897"/>
    <w:rsid w:val="00254EC8"/>
    <w:rsid w:val="002625DB"/>
    <w:rsid w:val="002652C8"/>
    <w:rsid w:val="0027288B"/>
    <w:rsid w:val="00272FD7"/>
    <w:rsid w:val="00293941"/>
    <w:rsid w:val="0029778E"/>
    <w:rsid w:val="002A05F1"/>
    <w:rsid w:val="002B0466"/>
    <w:rsid w:val="002C3AF6"/>
    <w:rsid w:val="002D3A7A"/>
    <w:rsid w:val="002E6797"/>
    <w:rsid w:val="002F0144"/>
    <w:rsid w:val="002F1F94"/>
    <w:rsid w:val="002F6396"/>
    <w:rsid w:val="003060CA"/>
    <w:rsid w:val="003136E0"/>
    <w:rsid w:val="0031647E"/>
    <w:rsid w:val="00316E4B"/>
    <w:rsid w:val="00316FE3"/>
    <w:rsid w:val="00320FC7"/>
    <w:rsid w:val="00321640"/>
    <w:rsid w:val="00324551"/>
    <w:rsid w:val="00325764"/>
    <w:rsid w:val="0032770A"/>
    <w:rsid w:val="00335FAE"/>
    <w:rsid w:val="00337D50"/>
    <w:rsid w:val="00340593"/>
    <w:rsid w:val="003461B5"/>
    <w:rsid w:val="00346261"/>
    <w:rsid w:val="003507D5"/>
    <w:rsid w:val="00363315"/>
    <w:rsid w:val="00374293"/>
    <w:rsid w:val="003757DF"/>
    <w:rsid w:val="00376495"/>
    <w:rsid w:val="00390AD2"/>
    <w:rsid w:val="00391C07"/>
    <w:rsid w:val="00396210"/>
    <w:rsid w:val="003965EB"/>
    <w:rsid w:val="00397E99"/>
    <w:rsid w:val="003A4929"/>
    <w:rsid w:val="003A5AE1"/>
    <w:rsid w:val="003C4BB3"/>
    <w:rsid w:val="003C507E"/>
    <w:rsid w:val="003C5176"/>
    <w:rsid w:val="003C5AEE"/>
    <w:rsid w:val="003C7DB3"/>
    <w:rsid w:val="003D1005"/>
    <w:rsid w:val="003D7DCD"/>
    <w:rsid w:val="003E2F9A"/>
    <w:rsid w:val="004055AD"/>
    <w:rsid w:val="00413DDE"/>
    <w:rsid w:val="00424FA5"/>
    <w:rsid w:val="00425077"/>
    <w:rsid w:val="00425CF9"/>
    <w:rsid w:val="00437DD3"/>
    <w:rsid w:val="0045220B"/>
    <w:rsid w:val="00467D4D"/>
    <w:rsid w:val="00467D96"/>
    <w:rsid w:val="0048059A"/>
    <w:rsid w:val="00484E5E"/>
    <w:rsid w:val="00485CF0"/>
    <w:rsid w:val="0049280E"/>
    <w:rsid w:val="00497292"/>
    <w:rsid w:val="004A7043"/>
    <w:rsid w:val="004B7C3D"/>
    <w:rsid w:val="004C74B3"/>
    <w:rsid w:val="004D205F"/>
    <w:rsid w:val="004D21F4"/>
    <w:rsid w:val="004D22B0"/>
    <w:rsid w:val="004D38EB"/>
    <w:rsid w:val="004D3C26"/>
    <w:rsid w:val="004E48EC"/>
    <w:rsid w:val="004F22E8"/>
    <w:rsid w:val="004F6932"/>
    <w:rsid w:val="004F7D13"/>
    <w:rsid w:val="0050353F"/>
    <w:rsid w:val="005108CA"/>
    <w:rsid w:val="005116B8"/>
    <w:rsid w:val="00520699"/>
    <w:rsid w:val="005219A5"/>
    <w:rsid w:val="00535F9C"/>
    <w:rsid w:val="005409C3"/>
    <w:rsid w:val="00543992"/>
    <w:rsid w:val="00551DFF"/>
    <w:rsid w:val="0055204C"/>
    <w:rsid w:val="0055799D"/>
    <w:rsid w:val="00566524"/>
    <w:rsid w:val="00576922"/>
    <w:rsid w:val="00582FC5"/>
    <w:rsid w:val="00594085"/>
    <w:rsid w:val="005954C6"/>
    <w:rsid w:val="005979D4"/>
    <w:rsid w:val="005A1256"/>
    <w:rsid w:val="005A5466"/>
    <w:rsid w:val="005B0B5C"/>
    <w:rsid w:val="005B483F"/>
    <w:rsid w:val="005B6C8B"/>
    <w:rsid w:val="005C0FEC"/>
    <w:rsid w:val="005C6081"/>
    <w:rsid w:val="005E221F"/>
    <w:rsid w:val="005E3488"/>
    <w:rsid w:val="005E4553"/>
    <w:rsid w:val="00604DC0"/>
    <w:rsid w:val="00610A67"/>
    <w:rsid w:val="00611EDE"/>
    <w:rsid w:val="0061552A"/>
    <w:rsid w:val="0061671E"/>
    <w:rsid w:val="006263BE"/>
    <w:rsid w:val="006317F1"/>
    <w:rsid w:val="0063467C"/>
    <w:rsid w:val="0063744E"/>
    <w:rsid w:val="00637AD7"/>
    <w:rsid w:val="00675E2F"/>
    <w:rsid w:val="00677285"/>
    <w:rsid w:val="00677C69"/>
    <w:rsid w:val="00683331"/>
    <w:rsid w:val="006A12AD"/>
    <w:rsid w:val="006A141E"/>
    <w:rsid w:val="006B277D"/>
    <w:rsid w:val="006B2F49"/>
    <w:rsid w:val="006B5394"/>
    <w:rsid w:val="006B77CD"/>
    <w:rsid w:val="006D3C86"/>
    <w:rsid w:val="006E7468"/>
    <w:rsid w:val="006F3559"/>
    <w:rsid w:val="007043D4"/>
    <w:rsid w:val="00711FEB"/>
    <w:rsid w:val="00717009"/>
    <w:rsid w:val="0072143C"/>
    <w:rsid w:val="0072226C"/>
    <w:rsid w:val="00730A07"/>
    <w:rsid w:val="007343D5"/>
    <w:rsid w:val="0074094D"/>
    <w:rsid w:val="007447D4"/>
    <w:rsid w:val="00745C53"/>
    <w:rsid w:val="00760D9C"/>
    <w:rsid w:val="00762CFF"/>
    <w:rsid w:val="00767F68"/>
    <w:rsid w:val="00772DBC"/>
    <w:rsid w:val="00775FA6"/>
    <w:rsid w:val="00791B0D"/>
    <w:rsid w:val="007C1047"/>
    <w:rsid w:val="007C192E"/>
    <w:rsid w:val="007C1C18"/>
    <w:rsid w:val="007C3207"/>
    <w:rsid w:val="007C6709"/>
    <w:rsid w:val="007F20B3"/>
    <w:rsid w:val="007F2225"/>
    <w:rsid w:val="007F634E"/>
    <w:rsid w:val="00800A2D"/>
    <w:rsid w:val="00803D0B"/>
    <w:rsid w:val="00806479"/>
    <w:rsid w:val="00813A71"/>
    <w:rsid w:val="0082532F"/>
    <w:rsid w:val="00833500"/>
    <w:rsid w:val="00834A84"/>
    <w:rsid w:val="008371F2"/>
    <w:rsid w:val="00842B4B"/>
    <w:rsid w:val="00843C47"/>
    <w:rsid w:val="008549B9"/>
    <w:rsid w:val="00883BE1"/>
    <w:rsid w:val="00893D17"/>
    <w:rsid w:val="008979A3"/>
    <w:rsid w:val="008B0AD6"/>
    <w:rsid w:val="008C390D"/>
    <w:rsid w:val="008E1722"/>
    <w:rsid w:val="008F4D8C"/>
    <w:rsid w:val="008F5256"/>
    <w:rsid w:val="008F55A7"/>
    <w:rsid w:val="008F596B"/>
    <w:rsid w:val="00903CC0"/>
    <w:rsid w:val="00903CD9"/>
    <w:rsid w:val="009045DC"/>
    <w:rsid w:val="0090555A"/>
    <w:rsid w:val="00910756"/>
    <w:rsid w:val="0091338A"/>
    <w:rsid w:val="009252FB"/>
    <w:rsid w:val="00931CB4"/>
    <w:rsid w:val="00935691"/>
    <w:rsid w:val="00941D5D"/>
    <w:rsid w:val="00946246"/>
    <w:rsid w:val="0095546E"/>
    <w:rsid w:val="009558D1"/>
    <w:rsid w:val="009565AE"/>
    <w:rsid w:val="0096074C"/>
    <w:rsid w:val="009711F3"/>
    <w:rsid w:val="00977010"/>
    <w:rsid w:val="00980B41"/>
    <w:rsid w:val="00980F50"/>
    <w:rsid w:val="00981F14"/>
    <w:rsid w:val="0098217F"/>
    <w:rsid w:val="009913C3"/>
    <w:rsid w:val="00992B56"/>
    <w:rsid w:val="00996AA8"/>
    <w:rsid w:val="009A1570"/>
    <w:rsid w:val="009A25FA"/>
    <w:rsid w:val="009A4D5A"/>
    <w:rsid w:val="009B10BD"/>
    <w:rsid w:val="009B2B4A"/>
    <w:rsid w:val="009B5DB1"/>
    <w:rsid w:val="009B639F"/>
    <w:rsid w:val="009C1509"/>
    <w:rsid w:val="009C297D"/>
    <w:rsid w:val="009D21E8"/>
    <w:rsid w:val="009D38EC"/>
    <w:rsid w:val="009D50BC"/>
    <w:rsid w:val="009D600D"/>
    <w:rsid w:val="009E5561"/>
    <w:rsid w:val="009E7DB2"/>
    <w:rsid w:val="009F651E"/>
    <w:rsid w:val="009F65EC"/>
    <w:rsid w:val="00A0454C"/>
    <w:rsid w:val="00A12061"/>
    <w:rsid w:val="00A2331D"/>
    <w:rsid w:val="00A3158E"/>
    <w:rsid w:val="00A35053"/>
    <w:rsid w:val="00A3510D"/>
    <w:rsid w:val="00A43236"/>
    <w:rsid w:val="00A470BE"/>
    <w:rsid w:val="00A5457C"/>
    <w:rsid w:val="00A64B49"/>
    <w:rsid w:val="00A66802"/>
    <w:rsid w:val="00A81536"/>
    <w:rsid w:val="00A82729"/>
    <w:rsid w:val="00A8336C"/>
    <w:rsid w:val="00A84FA9"/>
    <w:rsid w:val="00A85725"/>
    <w:rsid w:val="00A973FA"/>
    <w:rsid w:val="00AA46D3"/>
    <w:rsid w:val="00AB352D"/>
    <w:rsid w:val="00AB434F"/>
    <w:rsid w:val="00AB64C1"/>
    <w:rsid w:val="00AD5992"/>
    <w:rsid w:val="00AE47F0"/>
    <w:rsid w:val="00AE73C3"/>
    <w:rsid w:val="00AF3449"/>
    <w:rsid w:val="00B12A1F"/>
    <w:rsid w:val="00B16660"/>
    <w:rsid w:val="00B17130"/>
    <w:rsid w:val="00B20100"/>
    <w:rsid w:val="00B221C5"/>
    <w:rsid w:val="00B24D93"/>
    <w:rsid w:val="00B27F37"/>
    <w:rsid w:val="00B37DD7"/>
    <w:rsid w:val="00B4322A"/>
    <w:rsid w:val="00B548F5"/>
    <w:rsid w:val="00B6186B"/>
    <w:rsid w:val="00B628F0"/>
    <w:rsid w:val="00B62AB1"/>
    <w:rsid w:val="00B70095"/>
    <w:rsid w:val="00B71DF5"/>
    <w:rsid w:val="00B72E5F"/>
    <w:rsid w:val="00B7541D"/>
    <w:rsid w:val="00B8026A"/>
    <w:rsid w:val="00B83AC9"/>
    <w:rsid w:val="00B849C6"/>
    <w:rsid w:val="00B84A53"/>
    <w:rsid w:val="00B85FB1"/>
    <w:rsid w:val="00B9043F"/>
    <w:rsid w:val="00B92AF9"/>
    <w:rsid w:val="00B93065"/>
    <w:rsid w:val="00B9543B"/>
    <w:rsid w:val="00B95D5F"/>
    <w:rsid w:val="00BA2D79"/>
    <w:rsid w:val="00BA3DBB"/>
    <w:rsid w:val="00BA5BEE"/>
    <w:rsid w:val="00BC3834"/>
    <w:rsid w:val="00BC6EB3"/>
    <w:rsid w:val="00BC713B"/>
    <w:rsid w:val="00BD0875"/>
    <w:rsid w:val="00BD0E96"/>
    <w:rsid w:val="00BD17B7"/>
    <w:rsid w:val="00BD25C7"/>
    <w:rsid w:val="00BD7DBE"/>
    <w:rsid w:val="00BE6DEC"/>
    <w:rsid w:val="00C06602"/>
    <w:rsid w:val="00C118FE"/>
    <w:rsid w:val="00C21FC0"/>
    <w:rsid w:val="00C25792"/>
    <w:rsid w:val="00C31EF6"/>
    <w:rsid w:val="00C32AC8"/>
    <w:rsid w:val="00C40E98"/>
    <w:rsid w:val="00C439B2"/>
    <w:rsid w:val="00C533B7"/>
    <w:rsid w:val="00C62316"/>
    <w:rsid w:val="00C64D03"/>
    <w:rsid w:val="00C72900"/>
    <w:rsid w:val="00C75638"/>
    <w:rsid w:val="00C76D47"/>
    <w:rsid w:val="00C77A81"/>
    <w:rsid w:val="00C83694"/>
    <w:rsid w:val="00C93C28"/>
    <w:rsid w:val="00CB28AB"/>
    <w:rsid w:val="00CB4189"/>
    <w:rsid w:val="00CB7E71"/>
    <w:rsid w:val="00CC01E9"/>
    <w:rsid w:val="00CC5A0F"/>
    <w:rsid w:val="00CE06F8"/>
    <w:rsid w:val="00CE21EC"/>
    <w:rsid w:val="00CE7CC2"/>
    <w:rsid w:val="00CF0E5C"/>
    <w:rsid w:val="00D07137"/>
    <w:rsid w:val="00D22099"/>
    <w:rsid w:val="00D24460"/>
    <w:rsid w:val="00D311AB"/>
    <w:rsid w:val="00D32B7E"/>
    <w:rsid w:val="00D5204D"/>
    <w:rsid w:val="00D61553"/>
    <w:rsid w:val="00D62814"/>
    <w:rsid w:val="00D65E11"/>
    <w:rsid w:val="00D7041F"/>
    <w:rsid w:val="00D7101E"/>
    <w:rsid w:val="00D90892"/>
    <w:rsid w:val="00D97C96"/>
    <w:rsid w:val="00DA2DDA"/>
    <w:rsid w:val="00DA4C60"/>
    <w:rsid w:val="00DA5989"/>
    <w:rsid w:val="00DA7AE8"/>
    <w:rsid w:val="00DB421B"/>
    <w:rsid w:val="00DC58F6"/>
    <w:rsid w:val="00DD0D87"/>
    <w:rsid w:val="00DD2EC6"/>
    <w:rsid w:val="00DE2CA3"/>
    <w:rsid w:val="00DF2E97"/>
    <w:rsid w:val="00DF5386"/>
    <w:rsid w:val="00DF5907"/>
    <w:rsid w:val="00DF6F91"/>
    <w:rsid w:val="00E01BE4"/>
    <w:rsid w:val="00E03781"/>
    <w:rsid w:val="00E03A08"/>
    <w:rsid w:val="00E13C5B"/>
    <w:rsid w:val="00E40077"/>
    <w:rsid w:val="00E47BC3"/>
    <w:rsid w:val="00E54CCF"/>
    <w:rsid w:val="00E60321"/>
    <w:rsid w:val="00E60EF6"/>
    <w:rsid w:val="00E627D7"/>
    <w:rsid w:val="00E74F31"/>
    <w:rsid w:val="00E7519C"/>
    <w:rsid w:val="00E76A95"/>
    <w:rsid w:val="00E86E13"/>
    <w:rsid w:val="00EB1A95"/>
    <w:rsid w:val="00EB1DA5"/>
    <w:rsid w:val="00EC023F"/>
    <w:rsid w:val="00ED156A"/>
    <w:rsid w:val="00EE78CC"/>
    <w:rsid w:val="00EE7DF7"/>
    <w:rsid w:val="00EF69B1"/>
    <w:rsid w:val="00F11AA9"/>
    <w:rsid w:val="00F32713"/>
    <w:rsid w:val="00F3617A"/>
    <w:rsid w:val="00F4046A"/>
    <w:rsid w:val="00F50F0C"/>
    <w:rsid w:val="00F514D2"/>
    <w:rsid w:val="00F515C0"/>
    <w:rsid w:val="00F60486"/>
    <w:rsid w:val="00F630AF"/>
    <w:rsid w:val="00F64002"/>
    <w:rsid w:val="00F6640C"/>
    <w:rsid w:val="00F72E42"/>
    <w:rsid w:val="00F77F4A"/>
    <w:rsid w:val="00F86C18"/>
    <w:rsid w:val="00F92142"/>
    <w:rsid w:val="00FA0813"/>
    <w:rsid w:val="00FA4711"/>
    <w:rsid w:val="00FB20E6"/>
    <w:rsid w:val="00FB3E23"/>
    <w:rsid w:val="00FB7027"/>
    <w:rsid w:val="00FE137E"/>
    <w:rsid w:val="00FE726D"/>
    <w:rsid w:val="00FF3552"/>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18B66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 w:hAnsi="Calibri" w:cs="Arial"/>
        <w:sz w:val="22"/>
        <w:szCs w:val="22"/>
        <w:lang w:val="en-GB" w:eastAsia="en-GB" w:bidi="ar-SA"/>
      </w:rPr>
    </w:rPrDefault>
    <w:pPrDefault/>
  </w:docDefaults>
  <w:latentStyles w:defLockedState="1"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122AE6"/>
    <w:pPr>
      <w:spacing w:line="480" w:lineRule="auto"/>
    </w:pPr>
    <w:rPr>
      <w:rFonts w:ascii="Times New Roman" w:hAnsi="Times New Roman"/>
      <w:sz w:val="20"/>
      <w:lang w:val="en-US" w:eastAsia="en-US"/>
    </w:rPr>
  </w:style>
  <w:style w:type="paragraph" w:styleId="Heading1">
    <w:name w:val="heading 1"/>
    <w:basedOn w:val="Normal"/>
    <w:next w:val="Normal"/>
    <w:link w:val="Heading1Char"/>
    <w:uiPriority w:val="99"/>
    <w:qFormat/>
    <w:rsid w:val="003A5AE1"/>
    <w:pPr>
      <w:keepNext/>
      <w:keepLines/>
      <w:numPr>
        <w:numId w:val="17"/>
      </w:numPr>
      <w:spacing w:before="480"/>
      <w:outlineLvl w:val="0"/>
    </w:pPr>
    <w:rPr>
      <w:rFonts w:ascii="Cambria" w:hAnsi="Cambria" w:cs="Times New Roman"/>
      <w:b/>
      <w:bCs/>
      <w:color w:val="365F91"/>
      <w:sz w:val="28"/>
      <w:szCs w:val="28"/>
    </w:rPr>
  </w:style>
  <w:style w:type="paragraph" w:styleId="Heading2">
    <w:name w:val="heading 2"/>
    <w:basedOn w:val="Normal"/>
    <w:next w:val="Normal"/>
    <w:link w:val="Heading2Char"/>
    <w:uiPriority w:val="99"/>
    <w:qFormat/>
    <w:rsid w:val="003A5AE1"/>
    <w:pPr>
      <w:keepNext/>
      <w:keepLines/>
      <w:numPr>
        <w:ilvl w:val="1"/>
        <w:numId w:val="17"/>
      </w:numPr>
      <w:spacing w:before="200"/>
      <w:outlineLvl w:val="1"/>
    </w:pPr>
    <w:rPr>
      <w:rFonts w:ascii="Cambria" w:hAnsi="Cambria" w:cs="Times New Roman"/>
      <w:b/>
      <w:bCs/>
      <w:color w:val="4F81BD"/>
      <w:sz w:val="26"/>
      <w:szCs w:val="26"/>
    </w:rPr>
  </w:style>
  <w:style w:type="paragraph" w:styleId="Heading3">
    <w:name w:val="heading 3"/>
    <w:basedOn w:val="Normal"/>
    <w:next w:val="Normal"/>
    <w:link w:val="Heading3Char"/>
    <w:uiPriority w:val="99"/>
    <w:qFormat/>
    <w:rsid w:val="003A5AE1"/>
    <w:pPr>
      <w:keepNext/>
      <w:keepLines/>
      <w:numPr>
        <w:ilvl w:val="2"/>
        <w:numId w:val="17"/>
      </w:numPr>
      <w:spacing w:before="200"/>
      <w:outlineLvl w:val="2"/>
    </w:pPr>
    <w:rPr>
      <w:rFonts w:ascii="Cambria" w:hAnsi="Cambria" w:cs="Times New Roman"/>
      <w:b/>
      <w:bCs/>
      <w:color w:val="4F81BD"/>
    </w:rPr>
  </w:style>
  <w:style w:type="paragraph" w:styleId="Heading4">
    <w:name w:val="heading 4"/>
    <w:basedOn w:val="Normal"/>
    <w:next w:val="Normal"/>
    <w:link w:val="Heading4Char"/>
    <w:uiPriority w:val="99"/>
    <w:qFormat/>
    <w:rsid w:val="003A5AE1"/>
    <w:pPr>
      <w:keepNext/>
      <w:keepLines/>
      <w:numPr>
        <w:ilvl w:val="3"/>
        <w:numId w:val="17"/>
      </w:numPr>
      <w:spacing w:before="200"/>
      <w:outlineLvl w:val="3"/>
    </w:pPr>
    <w:rPr>
      <w:rFonts w:ascii="Cambria" w:hAnsi="Cambria" w:cs="Times New Roman"/>
      <w:b/>
      <w:bCs/>
      <w:i/>
      <w:iCs/>
      <w:color w:val="4F81BD"/>
    </w:rPr>
  </w:style>
  <w:style w:type="paragraph" w:styleId="Heading5">
    <w:name w:val="heading 5"/>
    <w:basedOn w:val="Normal"/>
    <w:next w:val="Normal"/>
    <w:link w:val="Heading5Char"/>
    <w:uiPriority w:val="99"/>
    <w:qFormat/>
    <w:rsid w:val="003A5AE1"/>
    <w:pPr>
      <w:keepNext/>
      <w:keepLines/>
      <w:numPr>
        <w:ilvl w:val="4"/>
        <w:numId w:val="17"/>
      </w:numPr>
      <w:spacing w:before="200"/>
      <w:outlineLvl w:val="4"/>
    </w:pPr>
    <w:rPr>
      <w:rFonts w:ascii="Cambria" w:hAnsi="Cambria" w:cs="Times New Roman"/>
      <w:color w:val="243F60"/>
    </w:rPr>
  </w:style>
  <w:style w:type="paragraph" w:styleId="Heading6">
    <w:name w:val="heading 6"/>
    <w:basedOn w:val="Normal"/>
    <w:next w:val="Normal"/>
    <w:link w:val="Heading6Char"/>
    <w:uiPriority w:val="99"/>
    <w:qFormat/>
    <w:rsid w:val="003A5AE1"/>
    <w:pPr>
      <w:keepNext/>
      <w:keepLines/>
      <w:numPr>
        <w:ilvl w:val="5"/>
        <w:numId w:val="17"/>
      </w:numPr>
      <w:spacing w:before="200"/>
      <w:outlineLvl w:val="5"/>
    </w:pPr>
    <w:rPr>
      <w:rFonts w:ascii="Cambria" w:hAnsi="Cambria" w:cs="Times New Roman"/>
      <w:i/>
      <w:iCs/>
      <w:color w:val="243F60"/>
    </w:rPr>
  </w:style>
  <w:style w:type="paragraph" w:styleId="Heading7">
    <w:name w:val="heading 7"/>
    <w:basedOn w:val="Normal"/>
    <w:next w:val="Normal"/>
    <w:link w:val="Heading7Char"/>
    <w:uiPriority w:val="99"/>
    <w:qFormat/>
    <w:rsid w:val="003A5AE1"/>
    <w:pPr>
      <w:keepNext/>
      <w:keepLines/>
      <w:numPr>
        <w:ilvl w:val="6"/>
        <w:numId w:val="17"/>
      </w:numPr>
      <w:spacing w:before="200"/>
      <w:outlineLvl w:val="6"/>
    </w:pPr>
    <w:rPr>
      <w:rFonts w:ascii="Cambria" w:hAnsi="Cambria" w:cs="Times New Roman"/>
      <w:i/>
      <w:iCs/>
      <w:color w:val="404040"/>
    </w:rPr>
  </w:style>
  <w:style w:type="paragraph" w:styleId="Heading8">
    <w:name w:val="heading 8"/>
    <w:basedOn w:val="Normal"/>
    <w:next w:val="Normal"/>
    <w:link w:val="Heading8Char"/>
    <w:uiPriority w:val="99"/>
    <w:qFormat/>
    <w:rsid w:val="003A5AE1"/>
    <w:pPr>
      <w:keepNext/>
      <w:keepLines/>
      <w:numPr>
        <w:ilvl w:val="7"/>
        <w:numId w:val="17"/>
      </w:numPr>
      <w:spacing w:before="200"/>
      <w:outlineLvl w:val="7"/>
    </w:pPr>
    <w:rPr>
      <w:rFonts w:ascii="Cambria" w:hAnsi="Cambria" w:cs="Times New Roman"/>
      <w:color w:val="4F81BD"/>
      <w:szCs w:val="20"/>
    </w:rPr>
  </w:style>
  <w:style w:type="paragraph" w:styleId="Heading9">
    <w:name w:val="heading 9"/>
    <w:basedOn w:val="Normal"/>
    <w:next w:val="Normal"/>
    <w:link w:val="Heading9Char"/>
    <w:uiPriority w:val="99"/>
    <w:qFormat/>
    <w:rsid w:val="003A5AE1"/>
    <w:pPr>
      <w:keepNext/>
      <w:keepLines/>
      <w:numPr>
        <w:ilvl w:val="8"/>
        <w:numId w:val="17"/>
      </w:numPr>
      <w:spacing w:before="200"/>
      <w:outlineLvl w:val="8"/>
    </w:pPr>
    <w:rPr>
      <w:rFonts w:ascii="Cambria"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A5AE1"/>
    <w:rPr>
      <w:rFonts w:ascii="Cambria" w:hAnsi="Cambria" w:cs="Times New Roman"/>
      <w:b/>
      <w:bCs/>
      <w:color w:val="365F91"/>
      <w:sz w:val="28"/>
      <w:szCs w:val="28"/>
    </w:rPr>
  </w:style>
  <w:style w:type="character" w:customStyle="1" w:styleId="Heading2Char">
    <w:name w:val="Heading 2 Char"/>
    <w:basedOn w:val="DefaultParagraphFont"/>
    <w:link w:val="Heading2"/>
    <w:uiPriority w:val="99"/>
    <w:locked/>
    <w:rsid w:val="003A5AE1"/>
    <w:rPr>
      <w:rFonts w:ascii="Cambria" w:hAnsi="Cambria" w:cs="Times New Roman"/>
      <w:b/>
      <w:bCs/>
      <w:color w:val="4F81BD"/>
      <w:sz w:val="26"/>
      <w:szCs w:val="26"/>
    </w:rPr>
  </w:style>
  <w:style w:type="character" w:customStyle="1" w:styleId="Heading3Char">
    <w:name w:val="Heading 3 Char"/>
    <w:basedOn w:val="DefaultParagraphFont"/>
    <w:link w:val="Heading3"/>
    <w:uiPriority w:val="99"/>
    <w:locked/>
    <w:rsid w:val="003A5AE1"/>
    <w:rPr>
      <w:rFonts w:ascii="Cambria" w:hAnsi="Cambria" w:cs="Times New Roman"/>
      <w:b/>
      <w:bCs/>
      <w:color w:val="4F81BD"/>
    </w:rPr>
  </w:style>
  <w:style w:type="character" w:customStyle="1" w:styleId="Heading4Char">
    <w:name w:val="Heading 4 Char"/>
    <w:basedOn w:val="DefaultParagraphFont"/>
    <w:link w:val="Heading4"/>
    <w:uiPriority w:val="99"/>
    <w:locked/>
    <w:rsid w:val="003A5AE1"/>
    <w:rPr>
      <w:rFonts w:ascii="Cambria" w:hAnsi="Cambria" w:cs="Times New Roman"/>
      <w:b/>
      <w:bCs/>
      <w:i/>
      <w:iCs/>
      <w:color w:val="4F81BD"/>
    </w:rPr>
  </w:style>
  <w:style w:type="character" w:customStyle="1" w:styleId="Heading5Char">
    <w:name w:val="Heading 5 Char"/>
    <w:basedOn w:val="DefaultParagraphFont"/>
    <w:link w:val="Heading5"/>
    <w:uiPriority w:val="99"/>
    <w:semiHidden/>
    <w:locked/>
    <w:rsid w:val="003A5AE1"/>
    <w:rPr>
      <w:rFonts w:ascii="Cambria" w:hAnsi="Cambria" w:cs="Times New Roman"/>
      <w:color w:val="243F60"/>
    </w:rPr>
  </w:style>
  <w:style w:type="character" w:customStyle="1" w:styleId="Heading6Char">
    <w:name w:val="Heading 6 Char"/>
    <w:basedOn w:val="DefaultParagraphFont"/>
    <w:link w:val="Heading6"/>
    <w:uiPriority w:val="99"/>
    <w:semiHidden/>
    <w:locked/>
    <w:rsid w:val="003A5AE1"/>
    <w:rPr>
      <w:rFonts w:ascii="Cambria" w:hAnsi="Cambria" w:cs="Times New Roman"/>
      <w:i/>
      <w:iCs/>
      <w:color w:val="243F60"/>
    </w:rPr>
  </w:style>
  <w:style w:type="character" w:customStyle="1" w:styleId="Heading7Char">
    <w:name w:val="Heading 7 Char"/>
    <w:basedOn w:val="DefaultParagraphFont"/>
    <w:link w:val="Heading7"/>
    <w:uiPriority w:val="99"/>
    <w:semiHidden/>
    <w:locked/>
    <w:rsid w:val="003A5AE1"/>
    <w:rPr>
      <w:rFonts w:ascii="Cambria" w:hAnsi="Cambria" w:cs="Times New Roman"/>
      <w:i/>
      <w:iCs/>
      <w:color w:val="404040"/>
    </w:rPr>
  </w:style>
  <w:style w:type="character" w:customStyle="1" w:styleId="Heading8Char">
    <w:name w:val="Heading 8 Char"/>
    <w:basedOn w:val="DefaultParagraphFont"/>
    <w:link w:val="Heading8"/>
    <w:uiPriority w:val="99"/>
    <w:semiHidden/>
    <w:locked/>
    <w:rsid w:val="003A5AE1"/>
    <w:rPr>
      <w:rFonts w:ascii="Cambria" w:hAnsi="Cambria" w:cs="Times New Roman"/>
      <w:color w:val="4F81BD"/>
      <w:sz w:val="20"/>
      <w:szCs w:val="20"/>
    </w:rPr>
  </w:style>
  <w:style w:type="character" w:customStyle="1" w:styleId="Heading9Char">
    <w:name w:val="Heading 9 Char"/>
    <w:basedOn w:val="DefaultParagraphFont"/>
    <w:link w:val="Heading9"/>
    <w:uiPriority w:val="99"/>
    <w:semiHidden/>
    <w:locked/>
    <w:rsid w:val="003A5AE1"/>
    <w:rPr>
      <w:rFonts w:ascii="Cambria" w:hAnsi="Cambria" w:cs="Times New Roman"/>
      <w:i/>
      <w:iCs/>
      <w:color w:val="404040"/>
      <w:sz w:val="20"/>
      <w:szCs w:val="20"/>
    </w:rPr>
  </w:style>
  <w:style w:type="paragraph" w:styleId="BalloonText">
    <w:name w:val="Balloon Text"/>
    <w:basedOn w:val="Normal"/>
    <w:link w:val="BalloonTextChar1"/>
    <w:uiPriority w:val="99"/>
    <w:semiHidden/>
    <w:rsid w:val="001363F8"/>
    <w:pPr>
      <w:spacing w:line="240" w:lineRule="auto"/>
    </w:pPr>
    <w:rPr>
      <w:rFonts w:ascii="Tahoma" w:hAnsi="Tahoma" w:cs="Tahoma"/>
      <w:sz w:val="16"/>
      <w:szCs w:val="16"/>
    </w:rPr>
  </w:style>
  <w:style w:type="character" w:customStyle="1" w:styleId="BalloonTextChar">
    <w:name w:val="Balloon Text Char"/>
    <w:basedOn w:val="DefaultParagraphFont"/>
    <w:uiPriority w:val="99"/>
    <w:semiHidden/>
    <w:locked/>
    <w:rsid w:val="000721C9"/>
    <w:rPr>
      <w:rFonts w:ascii="Lucida Grande" w:hAnsi="Lucida Grande" w:cs="Times New Roman"/>
      <w:sz w:val="18"/>
      <w:szCs w:val="18"/>
    </w:rPr>
  </w:style>
  <w:style w:type="character" w:styleId="FootnoteReference">
    <w:name w:val="footnote reference"/>
    <w:basedOn w:val="DefaultParagraphFont"/>
    <w:uiPriority w:val="99"/>
    <w:rsid w:val="006B77CD"/>
    <w:rPr>
      <w:rFonts w:cs="Times New Roman"/>
      <w:vertAlign w:val="superscript"/>
    </w:rPr>
  </w:style>
  <w:style w:type="paragraph" w:styleId="BodyText">
    <w:name w:val="Body Text"/>
    <w:basedOn w:val="Normal"/>
    <w:link w:val="BodyTextChar"/>
    <w:uiPriority w:val="99"/>
    <w:rsid w:val="006B77CD"/>
    <w:pPr>
      <w:spacing w:line="240" w:lineRule="auto"/>
      <w:jc w:val="both"/>
    </w:pPr>
    <w:rPr>
      <w:rFonts w:eastAsia="Times New Roman" w:cs="Times New Roman"/>
      <w:sz w:val="24"/>
      <w:szCs w:val="20"/>
    </w:rPr>
  </w:style>
  <w:style w:type="character" w:customStyle="1" w:styleId="BodyTextChar">
    <w:name w:val="Body Text Char"/>
    <w:basedOn w:val="DefaultParagraphFont"/>
    <w:link w:val="BodyText"/>
    <w:uiPriority w:val="99"/>
    <w:locked/>
    <w:rsid w:val="006B77CD"/>
    <w:rPr>
      <w:rFonts w:ascii="Times New Roman" w:hAnsi="Times New Roman" w:cs="Times New Roman"/>
      <w:sz w:val="20"/>
      <w:szCs w:val="20"/>
      <w:lang w:eastAsia="en-US"/>
    </w:rPr>
  </w:style>
  <w:style w:type="paragraph" w:styleId="FootnoteText">
    <w:name w:val="footnote text"/>
    <w:aliases w:val="Footnote Text Char Char Char Char Char Char Char Char Char Char Char Char Char Char Char Char Char,Footnote Text Char Char,Footnote Text Char Char Char Char Char Char Char Char Char,Footnote Text Char Char Char Char Char Char Char Char"/>
    <w:basedOn w:val="Normal"/>
    <w:link w:val="FootnoteTextChar"/>
    <w:uiPriority w:val="99"/>
    <w:rsid w:val="006B77CD"/>
    <w:pPr>
      <w:spacing w:line="240" w:lineRule="auto"/>
    </w:pPr>
    <w:rPr>
      <w:rFonts w:eastAsia="Times New Roman" w:cs="Times New Roman"/>
      <w:szCs w:val="20"/>
    </w:rPr>
  </w:style>
  <w:style w:type="character" w:customStyle="1" w:styleId="FootnoteTextChar">
    <w:name w:val="Footnote Text Char"/>
    <w:aliases w:val="Footnote Text Char Char Char Char Char Char Char Char Char Char Char Char Char Char Char Char Char Char,Footnote Text Char Char Char,Footnote Text Char Char Char Char Char Char Char Char Char Char"/>
    <w:basedOn w:val="DefaultParagraphFont"/>
    <w:link w:val="FootnoteText"/>
    <w:uiPriority w:val="99"/>
    <w:locked/>
    <w:rsid w:val="006B77CD"/>
    <w:rPr>
      <w:rFonts w:ascii="Times New Roman" w:hAnsi="Times New Roman" w:cs="Times New Roman"/>
      <w:sz w:val="20"/>
      <w:szCs w:val="20"/>
      <w:lang w:eastAsia="en-US"/>
    </w:rPr>
  </w:style>
  <w:style w:type="character" w:styleId="Hyperlink">
    <w:name w:val="Hyperlink"/>
    <w:basedOn w:val="DefaultParagraphFont"/>
    <w:uiPriority w:val="99"/>
    <w:rsid w:val="006B77CD"/>
    <w:rPr>
      <w:rFonts w:cs="Times New Roman"/>
      <w:color w:val="0000FF"/>
      <w:u w:val="single"/>
    </w:rPr>
  </w:style>
  <w:style w:type="character" w:styleId="Strong">
    <w:name w:val="Strong"/>
    <w:basedOn w:val="DefaultParagraphFont"/>
    <w:uiPriority w:val="99"/>
    <w:qFormat/>
    <w:rsid w:val="003A5AE1"/>
    <w:rPr>
      <w:rFonts w:cs="Times New Roman"/>
      <w:b/>
      <w:bCs/>
    </w:rPr>
  </w:style>
  <w:style w:type="paragraph" w:customStyle="1" w:styleId="boxpara">
    <w:name w:val="box para"/>
    <w:uiPriority w:val="99"/>
    <w:rsid w:val="006B77CD"/>
    <w:pPr>
      <w:widowControl w:val="0"/>
      <w:autoSpaceDE w:val="0"/>
      <w:autoSpaceDN w:val="0"/>
      <w:adjustRightInd w:val="0"/>
      <w:spacing w:line="310" w:lineRule="exact"/>
      <w:ind w:firstLine="220"/>
      <w:jc w:val="both"/>
    </w:pPr>
    <w:rPr>
      <w:rFonts w:ascii="Futura Book/Demi Bold" w:eastAsia="Times New Roman" w:hAnsi="Futura Book/Demi Bold" w:cs="Times New Roman"/>
      <w:color w:val="000000"/>
      <w:sz w:val="21"/>
      <w:szCs w:val="21"/>
      <w:lang w:val="en-US" w:eastAsia="en-US"/>
    </w:rPr>
  </w:style>
  <w:style w:type="paragraph" w:styleId="ListParagraph">
    <w:name w:val="List Paragraph"/>
    <w:basedOn w:val="Normal"/>
    <w:uiPriority w:val="99"/>
    <w:qFormat/>
    <w:rsid w:val="003A5AE1"/>
    <w:pPr>
      <w:ind w:left="720"/>
      <w:contextualSpacing/>
    </w:pPr>
  </w:style>
  <w:style w:type="paragraph" w:customStyle="1" w:styleId="Style8">
    <w:name w:val="Style 8"/>
    <w:basedOn w:val="Normal"/>
    <w:uiPriority w:val="99"/>
    <w:rsid w:val="006B77CD"/>
    <w:pPr>
      <w:widowControl w:val="0"/>
      <w:autoSpaceDE w:val="0"/>
      <w:autoSpaceDN w:val="0"/>
      <w:spacing w:line="540" w:lineRule="atLeast"/>
      <w:ind w:left="720" w:hanging="720"/>
    </w:pPr>
    <w:rPr>
      <w:rFonts w:eastAsia="Times New Roman" w:cs="Times New Roman"/>
      <w:sz w:val="24"/>
      <w:szCs w:val="24"/>
      <w:lang w:eastAsia="en-GB"/>
    </w:rPr>
  </w:style>
  <w:style w:type="character" w:styleId="Emphasis">
    <w:name w:val="Emphasis"/>
    <w:basedOn w:val="DefaultParagraphFont"/>
    <w:uiPriority w:val="99"/>
    <w:qFormat/>
    <w:rsid w:val="003A5AE1"/>
    <w:rPr>
      <w:rFonts w:cs="Times New Roman"/>
      <w:i/>
      <w:iCs/>
    </w:rPr>
  </w:style>
  <w:style w:type="paragraph" w:customStyle="1" w:styleId="Heading31">
    <w:name w:val="Heading 31"/>
    <w:basedOn w:val="Normal"/>
    <w:uiPriority w:val="99"/>
    <w:rsid w:val="006B77CD"/>
    <w:pPr>
      <w:spacing w:before="30" w:after="30" w:line="240" w:lineRule="auto"/>
      <w:outlineLvl w:val="3"/>
    </w:pPr>
    <w:rPr>
      <w:rFonts w:eastAsia="Times New Roman" w:cs="Times New Roman"/>
      <w:sz w:val="26"/>
      <w:szCs w:val="26"/>
    </w:rPr>
  </w:style>
  <w:style w:type="paragraph" w:customStyle="1" w:styleId="Style1">
    <w:name w:val="Style 1"/>
    <w:basedOn w:val="Normal"/>
    <w:uiPriority w:val="99"/>
    <w:rsid w:val="006B77CD"/>
    <w:pPr>
      <w:spacing w:line="240" w:lineRule="auto"/>
      <w:ind w:left="288" w:hanging="288"/>
    </w:pPr>
    <w:rPr>
      <w:rFonts w:eastAsia="Times New Roman" w:cs="Times New Roman"/>
      <w:sz w:val="24"/>
      <w:szCs w:val="20"/>
    </w:rPr>
  </w:style>
  <w:style w:type="character" w:customStyle="1" w:styleId="apple-converted-space">
    <w:name w:val="apple-converted-space"/>
    <w:basedOn w:val="DefaultParagraphFont"/>
    <w:uiPriority w:val="99"/>
    <w:rsid w:val="006B77CD"/>
    <w:rPr>
      <w:rFonts w:cs="Times New Roman"/>
    </w:rPr>
  </w:style>
  <w:style w:type="paragraph" w:styleId="Header">
    <w:name w:val="header"/>
    <w:basedOn w:val="Normal"/>
    <w:link w:val="HeaderChar"/>
    <w:uiPriority w:val="99"/>
    <w:rsid w:val="006B77CD"/>
    <w:pPr>
      <w:tabs>
        <w:tab w:val="center" w:pos="4419"/>
        <w:tab w:val="right" w:pos="8838"/>
      </w:tabs>
      <w:spacing w:line="240" w:lineRule="auto"/>
      <w:jc w:val="both"/>
    </w:pPr>
    <w:rPr>
      <w:rFonts w:cs="Times New Roman"/>
      <w:lang w:val="es-MX"/>
    </w:rPr>
  </w:style>
  <w:style w:type="character" w:customStyle="1" w:styleId="HeaderChar">
    <w:name w:val="Header Char"/>
    <w:basedOn w:val="DefaultParagraphFont"/>
    <w:link w:val="Header"/>
    <w:uiPriority w:val="99"/>
    <w:locked/>
    <w:rsid w:val="006B77CD"/>
    <w:rPr>
      <w:rFonts w:ascii="Calibri" w:hAnsi="Calibri" w:cs="Times New Roman"/>
      <w:lang w:val="es-MX" w:eastAsia="en-US"/>
    </w:rPr>
  </w:style>
  <w:style w:type="paragraph" w:styleId="Footer">
    <w:name w:val="footer"/>
    <w:basedOn w:val="Normal"/>
    <w:link w:val="FooterChar"/>
    <w:uiPriority w:val="99"/>
    <w:rsid w:val="006B77CD"/>
    <w:pPr>
      <w:tabs>
        <w:tab w:val="center" w:pos="4419"/>
        <w:tab w:val="right" w:pos="8838"/>
      </w:tabs>
      <w:spacing w:line="240" w:lineRule="auto"/>
      <w:jc w:val="both"/>
    </w:pPr>
    <w:rPr>
      <w:rFonts w:cs="Times New Roman"/>
      <w:lang w:val="es-MX"/>
    </w:rPr>
  </w:style>
  <w:style w:type="character" w:customStyle="1" w:styleId="FooterChar">
    <w:name w:val="Footer Char"/>
    <w:basedOn w:val="DefaultParagraphFont"/>
    <w:link w:val="Footer"/>
    <w:uiPriority w:val="99"/>
    <w:locked/>
    <w:rsid w:val="006B77CD"/>
    <w:rPr>
      <w:rFonts w:ascii="Calibri" w:hAnsi="Calibri" w:cs="Times New Roman"/>
      <w:lang w:val="es-MX" w:eastAsia="en-US"/>
    </w:rPr>
  </w:style>
  <w:style w:type="paragraph" w:styleId="EndnoteText">
    <w:name w:val="endnote text"/>
    <w:basedOn w:val="Normal"/>
    <w:link w:val="EndnoteTextChar"/>
    <w:uiPriority w:val="99"/>
    <w:rsid w:val="006B77CD"/>
    <w:pPr>
      <w:spacing w:line="240" w:lineRule="auto"/>
    </w:pPr>
    <w:rPr>
      <w:rFonts w:ascii="Arial" w:eastAsia="SimSun" w:hAnsi="Arial" w:cs="Times New Roman"/>
      <w:szCs w:val="20"/>
    </w:rPr>
  </w:style>
  <w:style w:type="character" w:customStyle="1" w:styleId="EndnoteTextChar">
    <w:name w:val="Endnote Text Char"/>
    <w:basedOn w:val="DefaultParagraphFont"/>
    <w:link w:val="EndnoteText"/>
    <w:uiPriority w:val="99"/>
    <w:locked/>
    <w:rsid w:val="006B77CD"/>
    <w:rPr>
      <w:rFonts w:ascii="Arial" w:eastAsia="SimSun" w:hAnsi="Arial" w:cs="Times New Roman"/>
      <w:sz w:val="20"/>
      <w:szCs w:val="20"/>
    </w:rPr>
  </w:style>
  <w:style w:type="character" w:styleId="EndnoteReference">
    <w:name w:val="endnote reference"/>
    <w:basedOn w:val="DefaultParagraphFont"/>
    <w:uiPriority w:val="99"/>
    <w:rsid w:val="006B77CD"/>
    <w:rPr>
      <w:rFonts w:cs="Times New Roman"/>
      <w:vertAlign w:val="superscript"/>
    </w:rPr>
  </w:style>
  <w:style w:type="character" w:customStyle="1" w:styleId="gsa">
    <w:name w:val="gs_a"/>
    <w:basedOn w:val="DefaultParagraphFont"/>
    <w:uiPriority w:val="99"/>
    <w:rsid w:val="006B77CD"/>
    <w:rPr>
      <w:rFonts w:cs="Times New Roman"/>
    </w:rPr>
  </w:style>
  <w:style w:type="paragraph" w:styleId="NormalWeb">
    <w:name w:val="Normal (Web)"/>
    <w:basedOn w:val="Normal"/>
    <w:uiPriority w:val="99"/>
    <w:rsid w:val="006B77CD"/>
    <w:pPr>
      <w:spacing w:before="100" w:beforeAutospacing="1" w:after="100" w:afterAutospacing="1" w:line="240" w:lineRule="auto"/>
    </w:pPr>
    <w:rPr>
      <w:rFonts w:eastAsia="Times New Roman" w:cs="Times New Roman"/>
      <w:sz w:val="24"/>
      <w:szCs w:val="24"/>
      <w:lang w:eastAsia="en-GB"/>
    </w:rPr>
  </w:style>
  <w:style w:type="paragraph" w:customStyle="1" w:styleId="Bibliografia">
    <w:name w:val="Bibliografia"/>
    <w:basedOn w:val="Normal"/>
    <w:uiPriority w:val="99"/>
    <w:rsid w:val="006B77CD"/>
    <w:pPr>
      <w:widowControl w:val="0"/>
      <w:autoSpaceDE w:val="0"/>
      <w:autoSpaceDN w:val="0"/>
      <w:spacing w:line="360" w:lineRule="auto"/>
      <w:jc w:val="both"/>
    </w:pPr>
    <w:rPr>
      <w:rFonts w:eastAsia="Times New Roman" w:cs="Times New Roman"/>
      <w:szCs w:val="20"/>
      <w:lang w:val="pt-BR" w:eastAsia="pt-BR"/>
    </w:rPr>
  </w:style>
  <w:style w:type="paragraph" w:styleId="Title">
    <w:name w:val="Title"/>
    <w:basedOn w:val="Normal"/>
    <w:next w:val="Normal"/>
    <w:link w:val="TitleChar"/>
    <w:uiPriority w:val="99"/>
    <w:qFormat/>
    <w:rsid w:val="003A5AE1"/>
    <w:pPr>
      <w:pBdr>
        <w:bottom w:val="single" w:sz="8" w:space="4" w:color="4F81BD"/>
      </w:pBdr>
      <w:spacing w:after="300" w:line="240" w:lineRule="auto"/>
      <w:contextualSpacing/>
    </w:pPr>
    <w:rPr>
      <w:rFonts w:ascii="Cambria" w:hAnsi="Cambria" w:cs="Times New Roman"/>
      <w:color w:val="17365D"/>
      <w:spacing w:val="5"/>
      <w:kern w:val="28"/>
      <w:sz w:val="52"/>
      <w:szCs w:val="52"/>
    </w:rPr>
  </w:style>
  <w:style w:type="character" w:customStyle="1" w:styleId="TitleChar">
    <w:name w:val="Title Char"/>
    <w:basedOn w:val="DefaultParagraphFont"/>
    <w:link w:val="Title"/>
    <w:uiPriority w:val="99"/>
    <w:locked/>
    <w:rsid w:val="003A5AE1"/>
    <w:rPr>
      <w:rFonts w:ascii="Cambria" w:hAnsi="Cambria" w:cs="Times New Roman"/>
      <w:color w:val="17365D"/>
      <w:spacing w:val="5"/>
      <w:kern w:val="28"/>
      <w:sz w:val="52"/>
      <w:szCs w:val="52"/>
    </w:rPr>
  </w:style>
  <w:style w:type="paragraph" w:customStyle="1" w:styleId="Default">
    <w:name w:val="Default"/>
    <w:uiPriority w:val="99"/>
    <w:rsid w:val="006B77CD"/>
    <w:pPr>
      <w:autoSpaceDE w:val="0"/>
      <w:autoSpaceDN w:val="0"/>
      <w:adjustRightInd w:val="0"/>
    </w:pPr>
    <w:rPr>
      <w:rFonts w:ascii="Verdana" w:eastAsia="Times New Roman" w:hAnsi="Verdana" w:cs="Verdana"/>
      <w:color w:val="000000"/>
      <w:sz w:val="24"/>
      <w:szCs w:val="24"/>
      <w:lang w:val="en-US" w:eastAsia="en-US"/>
    </w:rPr>
  </w:style>
  <w:style w:type="character" w:customStyle="1" w:styleId="subfielddata1">
    <w:name w:val="subfielddata1"/>
    <w:basedOn w:val="DefaultParagraphFont"/>
    <w:uiPriority w:val="99"/>
    <w:rsid w:val="001363F8"/>
    <w:rPr>
      <w:rFonts w:ascii="Arial" w:hAnsi="Arial" w:cs="Arial"/>
      <w:color w:val="333333"/>
      <w:sz w:val="26"/>
      <w:szCs w:val="26"/>
    </w:rPr>
  </w:style>
  <w:style w:type="paragraph" w:customStyle="1" w:styleId="References">
    <w:name w:val="References"/>
    <w:basedOn w:val="Normal"/>
    <w:uiPriority w:val="99"/>
    <w:rsid w:val="001363F8"/>
    <w:pPr>
      <w:widowControl w:val="0"/>
      <w:tabs>
        <w:tab w:val="left" w:pos="160"/>
      </w:tabs>
      <w:autoSpaceDE w:val="0"/>
      <w:autoSpaceDN w:val="0"/>
      <w:adjustRightInd w:val="0"/>
      <w:spacing w:line="180" w:lineRule="atLeast"/>
      <w:ind w:left="160" w:hanging="160"/>
      <w:jc w:val="both"/>
    </w:pPr>
    <w:rPr>
      <w:rFonts w:ascii="Times" w:eastAsia="Times New Roman" w:hAnsi="Times" w:cs="Times New Roman"/>
      <w:sz w:val="16"/>
      <w:szCs w:val="16"/>
      <w:lang w:eastAsia="en-GB"/>
    </w:rPr>
  </w:style>
  <w:style w:type="character" w:customStyle="1" w:styleId="apple-style-span">
    <w:name w:val="apple-style-span"/>
    <w:basedOn w:val="DefaultParagraphFont"/>
    <w:uiPriority w:val="99"/>
    <w:rsid w:val="001363F8"/>
    <w:rPr>
      <w:rFonts w:cs="Times New Roman"/>
    </w:rPr>
  </w:style>
  <w:style w:type="character" w:customStyle="1" w:styleId="titles-title">
    <w:name w:val="titles-title"/>
    <w:basedOn w:val="DefaultParagraphFont"/>
    <w:uiPriority w:val="99"/>
    <w:rsid w:val="001363F8"/>
    <w:rPr>
      <w:rFonts w:cs="Times New Roman"/>
    </w:rPr>
  </w:style>
  <w:style w:type="character" w:customStyle="1" w:styleId="bibrecord-highlight-user">
    <w:name w:val="bibrecord-highlight-user"/>
    <w:basedOn w:val="DefaultParagraphFont"/>
    <w:uiPriority w:val="99"/>
    <w:rsid w:val="001363F8"/>
    <w:rPr>
      <w:rFonts w:cs="Times New Roman"/>
    </w:rPr>
  </w:style>
  <w:style w:type="character" w:customStyle="1" w:styleId="titles-source">
    <w:name w:val="titles-source"/>
    <w:basedOn w:val="DefaultParagraphFont"/>
    <w:uiPriority w:val="99"/>
    <w:rsid w:val="001363F8"/>
    <w:rPr>
      <w:rFonts w:cs="Times New Roman"/>
    </w:rPr>
  </w:style>
  <w:style w:type="character" w:styleId="PageNumber">
    <w:name w:val="page number"/>
    <w:basedOn w:val="DefaultParagraphFont"/>
    <w:uiPriority w:val="99"/>
    <w:rsid w:val="001363F8"/>
    <w:rPr>
      <w:rFonts w:cs="Times New Roman"/>
    </w:rPr>
  </w:style>
  <w:style w:type="paragraph" w:styleId="NoSpacing">
    <w:name w:val="No Spacing"/>
    <w:uiPriority w:val="99"/>
    <w:qFormat/>
    <w:rsid w:val="003A5AE1"/>
    <w:rPr>
      <w:lang w:val="en-US" w:eastAsia="en-US"/>
    </w:rPr>
  </w:style>
  <w:style w:type="table" w:styleId="TableGrid">
    <w:name w:val="Table Grid"/>
    <w:basedOn w:val="TableNormal"/>
    <w:uiPriority w:val="99"/>
    <w:rsid w:val="001363F8"/>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TMLCite">
    <w:name w:val="HTML Cite"/>
    <w:basedOn w:val="DefaultParagraphFont"/>
    <w:uiPriority w:val="99"/>
    <w:rsid w:val="001363F8"/>
    <w:rPr>
      <w:rFonts w:cs="Times New Roman"/>
      <w:i/>
      <w:iCs/>
    </w:rPr>
  </w:style>
  <w:style w:type="paragraph" w:styleId="BodyTextIndent">
    <w:name w:val="Body Text Indent"/>
    <w:basedOn w:val="Normal"/>
    <w:link w:val="BodyTextIndentChar"/>
    <w:uiPriority w:val="99"/>
    <w:semiHidden/>
    <w:rsid w:val="001363F8"/>
    <w:pPr>
      <w:spacing w:line="240" w:lineRule="auto"/>
      <w:ind w:firstLine="360"/>
    </w:pPr>
    <w:rPr>
      <w:rFonts w:ascii="Times" w:hAnsi="Times" w:cs="Times New Roman"/>
      <w:sz w:val="24"/>
      <w:szCs w:val="20"/>
    </w:rPr>
  </w:style>
  <w:style w:type="character" w:customStyle="1" w:styleId="BodyTextIndentChar">
    <w:name w:val="Body Text Indent Char"/>
    <w:basedOn w:val="DefaultParagraphFont"/>
    <w:link w:val="BodyTextIndent"/>
    <w:uiPriority w:val="99"/>
    <w:semiHidden/>
    <w:locked/>
    <w:rsid w:val="001363F8"/>
    <w:rPr>
      <w:rFonts w:ascii="Times" w:hAnsi="Times" w:cs="Times New Roman"/>
      <w:sz w:val="20"/>
      <w:szCs w:val="20"/>
      <w:lang w:val="en-US" w:eastAsia="en-US"/>
    </w:rPr>
  </w:style>
  <w:style w:type="paragraph" w:styleId="BlockText">
    <w:name w:val="Block Text"/>
    <w:basedOn w:val="Normal"/>
    <w:uiPriority w:val="99"/>
    <w:semiHidden/>
    <w:rsid w:val="001363F8"/>
    <w:pPr>
      <w:spacing w:line="240" w:lineRule="auto"/>
      <w:ind w:left="720" w:right="720"/>
    </w:pPr>
    <w:rPr>
      <w:rFonts w:ascii="Times" w:hAnsi="Times" w:cs="Times New Roman"/>
      <w:sz w:val="24"/>
      <w:szCs w:val="20"/>
    </w:rPr>
  </w:style>
  <w:style w:type="paragraph" w:customStyle="1" w:styleId="Literaturverz">
    <w:name w:val="Literaturverz"/>
    <w:basedOn w:val="Normal"/>
    <w:uiPriority w:val="99"/>
    <w:rsid w:val="001363F8"/>
    <w:pPr>
      <w:spacing w:line="240" w:lineRule="auto"/>
      <w:ind w:left="709" w:hanging="709"/>
    </w:pPr>
    <w:rPr>
      <w:rFonts w:ascii="Book Antiqua" w:eastAsia="Times New Roman" w:hAnsi="Book Antiqua" w:cs="Times New Roman"/>
      <w:szCs w:val="20"/>
      <w:lang w:eastAsia="de-DE"/>
    </w:rPr>
  </w:style>
  <w:style w:type="character" w:customStyle="1" w:styleId="searchword">
    <w:name w:val="searchword"/>
    <w:basedOn w:val="DefaultParagraphFont"/>
    <w:uiPriority w:val="99"/>
    <w:rsid w:val="001363F8"/>
    <w:rPr>
      <w:rFonts w:cs="Times New Roman"/>
    </w:rPr>
  </w:style>
  <w:style w:type="character" w:customStyle="1" w:styleId="BalloonTextChar1">
    <w:name w:val="Balloon Text Char1"/>
    <w:basedOn w:val="DefaultParagraphFont"/>
    <w:link w:val="BalloonText"/>
    <w:uiPriority w:val="99"/>
    <w:semiHidden/>
    <w:locked/>
    <w:rsid w:val="001363F8"/>
    <w:rPr>
      <w:rFonts w:ascii="Tahoma" w:hAnsi="Tahoma" w:cs="Tahoma"/>
      <w:sz w:val="16"/>
      <w:szCs w:val="16"/>
      <w:lang w:eastAsia="en-US"/>
    </w:rPr>
  </w:style>
  <w:style w:type="character" w:customStyle="1" w:styleId="a">
    <w:name w:val="a"/>
    <w:basedOn w:val="DefaultParagraphFont"/>
    <w:uiPriority w:val="99"/>
    <w:rsid w:val="001363F8"/>
    <w:rPr>
      <w:rFonts w:cs="Times New Roman"/>
    </w:rPr>
  </w:style>
  <w:style w:type="character" w:customStyle="1" w:styleId="italic">
    <w:name w:val="italic"/>
    <w:basedOn w:val="DefaultParagraphFont"/>
    <w:uiPriority w:val="99"/>
    <w:rsid w:val="001363F8"/>
    <w:rPr>
      <w:rFonts w:cs="Times New Roman"/>
    </w:rPr>
  </w:style>
  <w:style w:type="character" w:customStyle="1" w:styleId="maintextleft1">
    <w:name w:val="maintextleft1"/>
    <w:basedOn w:val="DefaultParagraphFont"/>
    <w:uiPriority w:val="99"/>
    <w:rsid w:val="001363F8"/>
    <w:rPr>
      <w:rFonts w:ascii="Arial" w:hAnsi="Arial" w:cs="Arial"/>
      <w:color w:val="000000"/>
      <w:sz w:val="18"/>
      <w:szCs w:val="18"/>
      <w:u w:val="none"/>
      <w:effect w:val="none"/>
    </w:rPr>
  </w:style>
  <w:style w:type="character" w:customStyle="1" w:styleId="w">
    <w:name w:val="w"/>
    <w:basedOn w:val="DefaultParagraphFont"/>
    <w:uiPriority w:val="99"/>
    <w:rsid w:val="001363F8"/>
    <w:rPr>
      <w:rFonts w:cs="Times New Roman"/>
    </w:rPr>
  </w:style>
  <w:style w:type="character" w:customStyle="1" w:styleId="simfield">
    <w:name w:val="simfield"/>
    <w:basedOn w:val="DefaultParagraphFont"/>
    <w:uiPriority w:val="99"/>
    <w:rsid w:val="001363F8"/>
    <w:rPr>
      <w:rFonts w:cs="Times New Roman"/>
    </w:rPr>
  </w:style>
  <w:style w:type="character" w:customStyle="1" w:styleId="bold">
    <w:name w:val="bold"/>
    <w:basedOn w:val="DefaultParagraphFont"/>
    <w:uiPriority w:val="99"/>
    <w:rsid w:val="001363F8"/>
    <w:rPr>
      <w:rFonts w:cs="Times New Roman"/>
    </w:rPr>
  </w:style>
  <w:style w:type="paragraph" w:styleId="Bibliography">
    <w:name w:val="Bibliography"/>
    <w:basedOn w:val="Normal"/>
    <w:next w:val="Normal"/>
    <w:uiPriority w:val="99"/>
    <w:rsid w:val="001363F8"/>
  </w:style>
  <w:style w:type="paragraph" w:styleId="Caption">
    <w:name w:val="caption"/>
    <w:basedOn w:val="Normal"/>
    <w:next w:val="Normal"/>
    <w:uiPriority w:val="99"/>
    <w:qFormat/>
    <w:rsid w:val="003A5AE1"/>
    <w:pPr>
      <w:spacing w:line="240" w:lineRule="auto"/>
    </w:pPr>
    <w:rPr>
      <w:b/>
      <w:bCs/>
      <w:color w:val="4F81BD"/>
      <w:sz w:val="18"/>
      <w:szCs w:val="18"/>
    </w:rPr>
  </w:style>
  <w:style w:type="paragraph" w:styleId="Subtitle">
    <w:name w:val="Subtitle"/>
    <w:basedOn w:val="Normal"/>
    <w:next w:val="Normal"/>
    <w:link w:val="SubtitleChar"/>
    <w:uiPriority w:val="99"/>
    <w:qFormat/>
    <w:rsid w:val="003A5AE1"/>
    <w:pPr>
      <w:numPr>
        <w:ilvl w:val="1"/>
      </w:numPr>
    </w:pPr>
    <w:rPr>
      <w:rFonts w:ascii="Cambria" w:hAnsi="Cambria" w:cs="Times New Roman"/>
      <w:i/>
      <w:iCs/>
      <w:color w:val="4F81BD"/>
      <w:spacing w:val="15"/>
      <w:sz w:val="24"/>
      <w:szCs w:val="24"/>
    </w:rPr>
  </w:style>
  <w:style w:type="character" w:customStyle="1" w:styleId="SubtitleChar">
    <w:name w:val="Subtitle Char"/>
    <w:basedOn w:val="DefaultParagraphFont"/>
    <w:link w:val="Subtitle"/>
    <w:uiPriority w:val="99"/>
    <w:locked/>
    <w:rsid w:val="003A5AE1"/>
    <w:rPr>
      <w:rFonts w:ascii="Cambria" w:hAnsi="Cambria" w:cs="Times New Roman"/>
      <w:i/>
      <w:iCs/>
      <w:color w:val="4F81BD"/>
      <w:spacing w:val="15"/>
      <w:sz w:val="24"/>
      <w:szCs w:val="24"/>
    </w:rPr>
  </w:style>
  <w:style w:type="paragraph" w:styleId="Quote">
    <w:name w:val="Quote"/>
    <w:basedOn w:val="Normal"/>
    <w:next w:val="Normal"/>
    <w:link w:val="QuoteChar"/>
    <w:uiPriority w:val="99"/>
    <w:qFormat/>
    <w:rsid w:val="003A5AE1"/>
    <w:rPr>
      <w:i/>
      <w:iCs/>
      <w:color w:val="000000"/>
    </w:rPr>
  </w:style>
  <w:style w:type="character" w:customStyle="1" w:styleId="QuoteChar">
    <w:name w:val="Quote Char"/>
    <w:basedOn w:val="DefaultParagraphFont"/>
    <w:link w:val="Quote"/>
    <w:uiPriority w:val="99"/>
    <w:locked/>
    <w:rsid w:val="003A5AE1"/>
    <w:rPr>
      <w:rFonts w:cs="Times New Roman"/>
      <w:i/>
      <w:iCs/>
      <w:color w:val="000000"/>
    </w:rPr>
  </w:style>
  <w:style w:type="paragraph" w:styleId="IntenseQuote">
    <w:name w:val="Intense Quote"/>
    <w:basedOn w:val="Normal"/>
    <w:next w:val="Normal"/>
    <w:link w:val="IntenseQuoteChar"/>
    <w:uiPriority w:val="99"/>
    <w:qFormat/>
    <w:rsid w:val="003A5AE1"/>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99"/>
    <w:locked/>
    <w:rsid w:val="003A5AE1"/>
    <w:rPr>
      <w:rFonts w:cs="Times New Roman"/>
      <w:b/>
      <w:bCs/>
      <w:i/>
      <w:iCs/>
      <w:color w:val="4F81BD"/>
    </w:rPr>
  </w:style>
  <w:style w:type="character" w:styleId="SubtleEmphasis">
    <w:name w:val="Subtle Emphasis"/>
    <w:basedOn w:val="DefaultParagraphFont"/>
    <w:uiPriority w:val="99"/>
    <w:qFormat/>
    <w:rsid w:val="003A5AE1"/>
    <w:rPr>
      <w:rFonts w:cs="Times New Roman"/>
      <w:i/>
      <w:iCs/>
      <w:color w:val="808080"/>
    </w:rPr>
  </w:style>
  <w:style w:type="character" w:styleId="IntenseEmphasis">
    <w:name w:val="Intense Emphasis"/>
    <w:basedOn w:val="DefaultParagraphFont"/>
    <w:uiPriority w:val="99"/>
    <w:qFormat/>
    <w:rsid w:val="003A5AE1"/>
    <w:rPr>
      <w:rFonts w:cs="Times New Roman"/>
      <w:b/>
      <w:bCs/>
      <w:i/>
      <w:iCs/>
      <w:color w:val="4F81BD"/>
    </w:rPr>
  </w:style>
  <w:style w:type="character" w:styleId="SubtleReference">
    <w:name w:val="Subtle Reference"/>
    <w:basedOn w:val="DefaultParagraphFont"/>
    <w:uiPriority w:val="99"/>
    <w:qFormat/>
    <w:rsid w:val="003A5AE1"/>
    <w:rPr>
      <w:rFonts w:cs="Times New Roman"/>
      <w:smallCaps/>
      <w:color w:val="C0504D"/>
      <w:u w:val="single"/>
    </w:rPr>
  </w:style>
  <w:style w:type="character" w:styleId="IntenseReference">
    <w:name w:val="Intense Reference"/>
    <w:basedOn w:val="DefaultParagraphFont"/>
    <w:uiPriority w:val="99"/>
    <w:qFormat/>
    <w:rsid w:val="003A5AE1"/>
    <w:rPr>
      <w:rFonts w:cs="Times New Roman"/>
      <w:b/>
      <w:bCs/>
      <w:smallCaps/>
      <w:color w:val="C0504D"/>
      <w:spacing w:val="5"/>
      <w:u w:val="single"/>
    </w:rPr>
  </w:style>
  <w:style w:type="character" w:styleId="BookTitle">
    <w:name w:val="Book Title"/>
    <w:basedOn w:val="DefaultParagraphFont"/>
    <w:uiPriority w:val="99"/>
    <w:qFormat/>
    <w:rsid w:val="003A5AE1"/>
    <w:rPr>
      <w:rFonts w:cs="Times New Roman"/>
      <w:b/>
      <w:bCs/>
      <w:smallCaps/>
      <w:spacing w:val="5"/>
    </w:rPr>
  </w:style>
  <w:style w:type="paragraph" w:styleId="TOCHeading">
    <w:name w:val="TOC Heading"/>
    <w:basedOn w:val="Heading1"/>
    <w:next w:val="Normal"/>
    <w:uiPriority w:val="99"/>
    <w:qFormat/>
    <w:rsid w:val="003A5AE1"/>
    <w:pPr>
      <w:outlineLvl w:val="9"/>
    </w:pPr>
  </w:style>
  <w:style w:type="paragraph" w:styleId="TOC1">
    <w:name w:val="toc 1"/>
    <w:basedOn w:val="Normal"/>
    <w:next w:val="Normal"/>
    <w:autoRedefine/>
    <w:uiPriority w:val="99"/>
    <w:rsid w:val="00136D52"/>
    <w:pPr>
      <w:spacing w:after="100"/>
    </w:pPr>
    <w:rPr>
      <w:lang w:val="en-GB"/>
    </w:rPr>
  </w:style>
  <w:style w:type="paragraph" w:styleId="TOC2">
    <w:name w:val="toc 2"/>
    <w:basedOn w:val="Normal"/>
    <w:next w:val="Normal"/>
    <w:autoRedefine/>
    <w:uiPriority w:val="99"/>
    <w:rsid w:val="00136D52"/>
    <w:pPr>
      <w:spacing w:after="100"/>
      <w:ind w:left="220"/>
    </w:pPr>
    <w:rPr>
      <w:lang w:val="en-GB"/>
    </w:rPr>
  </w:style>
  <w:style w:type="table" w:customStyle="1" w:styleId="LightShading1">
    <w:name w:val="Light Shading1"/>
    <w:uiPriority w:val="99"/>
    <w:rsid w:val="00136D52"/>
    <w:rPr>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MediumShading1-Accent11">
    <w:name w:val="Medium Shading 1 - Accent 11"/>
    <w:uiPriority w:val="99"/>
    <w:rsid w:val="00136D52"/>
    <w:rPr>
      <w:sz w:val="20"/>
      <w:szCs w:val="20"/>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LightShading-Accent11">
    <w:name w:val="Light Shading - Accent 11"/>
    <w:uiPriority w:val="99"/>
    <w:rsid w:val="00136D52"/>
    <w:rPr>
      <w:color w:val="365F91"/>
      <w:sz w:val="20"/>
      <w:szCs w:val="2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styleId="MediumGrid3-Accent1">
    <w:name w:val="Medium Grid 3 Accent 1"/>
    <w:basedOn w:val="TableNormal"/>
    <w:uiPriority w:val="99"/>
    <w:rsid w:val="00136D52"/>
    <w:rPr>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rFonts w:cs="Arial"/>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rFonts w:cs="Arial"/>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rFonts w:cs="Arial"/>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rFonts w:cs="Arial"/>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rPr>
        <w:rFonts w:cs="Arial"/>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rPr>
        <w:rFonts w:cs="Arial"/>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ghtGrid1">
    <w:name w:val="Light Grid1"/>
    <w:uiPriority w:val="99"/>
    <w:rsid w:val="00136D52"/>
    <w:rPr>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table" w:customStyle="1" w:styleId="MediumShading1-Accent12">
    <w:name w:val="Medium Shading 1 - Accent 12"/>
    <w:uiPriority w:val="99"/>
    <w:rsid w:val="00136D52"/>
    <w:rPr>
      <w:sz w:val="20"/>
      <w:szCs w:val="20"/>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paragraph" w:customStyle="1" w:styleId="Body">
    <w:name w:val="Body"/>
    <w:uiPriority w:val="99"/>
    <w:rsid w:val="0029778E"/>
    <w:rPr>
      <w:rFonts w:ascii="Helvetica" w:eastAsia="?????? Pro W3" w:hAnsi="Helvetica" w:cs="Times New Roman"/>
      <w:color w:val="000000"/>
      <w:sz w:val="24"/>
      <w:szCs w:val="20"/>
      <w:lang w:val="en-US" w:eastAsia="zh-CN"/>
    </w:rPr>
  </w:style>
  <w:style w:type="paragraph" w:customStyle="1" w:styleId="FootnoteText1">
    <w:name w:val="Footnote Text1"/>
    <w:uiPriority w:val="99"/>
    <w:rsid w:val="0029778E"/>
    <w:rPr>
      <w:rFonts w:ascii="Helvetica" w:eastAsia="?????? Pro W3" w:hAnsi="Helvetica" w:cs="Times New Roman"/>
      <w:color w:val="000000"/>
      <w:sz w:val="20"/>
      <w:szCs w:val="20"/>
      <w:lang w:val="en-US" w:eastAsia="zh-CN"/>
    </w:rPr>
  </w:style>
  <w:style w:type="table" w:customStyle="1" w:styleId="HorizonalPlain">
    <w:name w:val="Horizonal Plain"/>
    <w:uiPriority w:val="99"/>
    <w:rsid w:val="003136E0"/>
    <w:rPr>
      <w:sz w:val="20"/>
      <w:szCs w:val="20"/>
    </w:rPr>
    <w:tblPr>
      <w:tblInd w:w="0" w:type="dxa"/>
      <w:tblBorders>
        <w:insideH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semiHidden/>
    <w:rsid w:val="00A432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Cs w:val="20"/>
      <w:lang w:val="en-GB" w:eastAsia="en-GB"/>
    </w:rPr>
  </w:style>
  <w:style w:type="character" w:customStyle="1" w:styleId="HTMLPreformattedChar">
    <w:name w:val="HTML Preformatted Char"/>
    <w:basedOn w:val="DefaultParagraphFont"/>
    <w:link w:val="HTMLPreformatted"/>
    <w:uiPriority w:val="99"/>
    <w:semiHidden/>
    <w:locked/>
    <w:rsid w:val="00A43236"/>
    <w:rPr>
      <w:rFonts w:ascii="Courier New" w:hAnsi="Courier New" w:cs="Courier New"/>
      <w:sz w:val="20"/>
      <w:szCs w:val="20"/>
      <w:lang w:val="en-GB" w:eastAsia="en-GB" w:bidi="ar-SA"/>
    </w:rPr>
  </w:style>
  <w:style w:type="character" w:customStyle="1" w:styleId="il">
    <w:name w:val="il"/>
    <w:basedOn w:val="DefaultParagraphFont"/>
    <w:uiPriority w:val="99"/>
    <w:rsid w:val="00EF69B1"/>
    <w:rPr>
      <w:rFonts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9363223">
      <w:marLeft w:val="0"/>
      <w:marRight w:val="0"/>
      <w:marTop w:val="0"/>
      <w:marBottom w:val="0"/>
      <w:divBdr>
        <w:top w:val="none" w:sz="0" w:space="0" w:color="auto"/>
        <w:left w:val="none" w:sz="0" w:space="0" w:color="auto"/>
        <w:bottom w:val="none" w:sz="0" w:space="0" w:color="auto"/>
        <w:right w:val="none" w:sz="0" w:space="0" w:color="auto"/>
      </w:divBdr>
      <w:divsChild>
        <w:div w:id="899363227">
          <w:marLeft w:val="0"/>
          <w:marRight w:val="0"/>
          <w:marTop w:val="0"/>
          <w:marBottom w:val="0"/>
          <w:divBdr>
            <w:top w:val="none" w:sz="0" w:space="0" w:color="auto"/>
            <w:left w:val="none" w:sz="0" w:space="0" w:color="auto"/>
            <w:bottom w:val="none" w:sz="0" w:space="0" w:color="auto"/>
            <w:right w:val="none" w:sz="0" w:space="0" w:color="auto"/>
          </w:divBdr>
        </w:div>
      </w:divsChild>
    </w:div>
    <w:div w:id="899363224">
      <w:marLeft w:val="0"/>
      <w:marRight w:val="0"/>
      <w:marTop w:val="0"/>
      <w:marBottom w:val="0"/>
      <w:divBdr>
        <w:top w:val="none" w:sz="0" w:space="0" w:color="auto"/>
        <w:left w:val="none" w:sz="0" w:space="0" w:color="auto"/>
        <w:bottom w:val="none" w:sz="0" w:space="0" w:color="auto"/>
        <w:right w:val="none" w:sz="0" w:space="0" w:color="auto"/>
      </w:divBdr>
    </w:div>
    <w:div w:id="899363225">
      <w:marLeft w:val="0"/>
      <w:marRight w:val="0"/>
      <w:marTop w:val="0"/>
      <w:marBottom w:val="0"/>
      <w:divBdr>
        <w:top w:val="none" w:sz="0" w:space="0" w:color="auto"/>
        <w:left w:val="none" w:sz="0" w:space="0" w:color="auto"/>
        <w:bottom w:val="none" w:sz="0" w:space="0" w:color="auto"/>
        <w:right w:val="none" w:sz="0" w:space="0" w:color="auto"/>
      </w:divBdr>
    </w:div>
    <w:div w:id="899363226">
      <w:marLeft w:val="0"/>
      <w:marRight w:val="0"/>
      <w:marTop w:val="0"/>
      <w:marBottom w:val="0"/>
      <w:divBdr>
        <w:top w:val="none" w:sz="0" w:space="0" w:color="auto"/>
        <w:left w:val="none" w:sz="0" w:space="0" w:color="auto"/>
        <w:bottom w:val="none" w:sz="0" w:space="0" w:color="auto"/>
        <w:right w:val="none" w:sz="0" w:space="0" w:color="auto"/>
      </w:divBdr>
    </w:div>
    <w:div w:id="899363228">
      <w:marLeft w:val="0"/>
      <w:marRight w:val="0"/>
      <w:marTop w:val="0"/>
      <w:marBottom w:val="0"/>
      <w:divBdr>
        <w:top w:val="none" w:sz="0" w:space="0" w:color="auto"/>
        <w:left w:val="none" w:sz="0" w:space="0" w:color="auto"/>
        <w:bottom w:val="none" w:sz="0" w:space="0" w:color="auto"/>
        <w:right w:val="none" w:sz="0" w:space="0" w:color="auto"/>
      </w:divBdr>
    </w:div>
    <w:div w:id="899363229">
      <w:marLeft w:val="0"/>
      <w:marRight w:val="0"/>
      <w:marTop w:val="0"/>
      <w:marBottom w:val="0"/>
      <w:divBdr>
        <w:top w:val="none" w:sz="0" w:space="0" w:color="auto"/>
        <w:left w:val="none" w:sz="0" w:space="0" w:color="auto"/>
        <w:bottom w:val="none" w:sz="0" w:space="0" w:color="auto"/>
        <w:right w:val="none" w:sz="0" w:space="0" w:color="auto"/>
      </w:divBdr>
    </w:div>
    <w:div w:id="899363230">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4" Type="http://schemas.openxmlformats.org/officeDocument/2006/relationships/settings" Target="settings.xml"/><Relationship Id="rId10" Type="http://schemas.openxmlformats.org/officeDocument/2006/relationships/fontTable" Target="fontTable.xml"/><Relationship Id="rId5" Type="http://schemas.openxmlformats.org/officeDocument/2006/relationships/webSettings" Target="webSettings.xml"/><Relationship Id="rId7" Type="http://schemas.openxmlformats.org/officeDocument/2006/relationships/endnotes" Target="endnotes.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9" Type="http://schemas.openxmlformats.org/officeDocument/2006/relationships/header" Target="header2.xml"/><Relationship Id="rId3" Type="http://schemas.microsoft.com/office/2007/relationships/stylesWithEffects" Target="stylesWithEffects.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TotalTime>
  <Pages>7</Pages>
  <Words>3105</Words>
  <Characters>17699</Characters>
  <Application>Microsoft Macintosh Word</Application>
  <DocSecurity>0</DocSecurity>
  <Lines>147</Lines>
  <Paragraphs>41</Paragraphs>
  <ScaleCrop>false</ScaleCrop>
  <Company>SOAS</Company>
  <LinksUpToDate>false</LinksUpToDate>
  <CharactersWithSpaces>20763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Authorised User</dc:creator>
  <cp:keywords/>
  <dc:description/>
  <cp:lastModifiedBy>Caroline Cornish</cp:lastModifiedBy>
  <cp:revision>47</cp:revision>
  <cp:lastPrinted>2011-12-23T11:23:00Z</cp:lastPrinted>
  <dcterms:created xsi:type="dcterms:W3CDTF">2012-02-27T17:28:00Z</dcterms:created>
  <dcterms:modified xsi:type="dcterms:W3CDTF">2012-04-25T10:10:00Z</dcterms:modified>
</cp:coreProperties>
</file>