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BA5E78" w14:textId="7BB3C75E" w:rsidR="00CD2FB4" w:rsidRPr="00CA4DA0" w:rsidRDefault="00EF7823" w:rsidP="00CD2FB4">
      <w:pPr>
        <w:rPr>
          <w:rFonts w:cstheme="minorHAnsi"/>
          <w:b/>
          <w:sz w:val="24"/>
          <w:szCs w:val="24"/>
        </w:rPr>
      </w:pPr>
      <w:r w:rsidRPr="00CA4DA0">
        <w:rPr>
          <w:rFonts w:cstheme="minorHAnsi"/>
          <w:b/>
          <w:sz w:val="24"/>
          <w:szCs w:val="24"/>
        </w:rPr>
        <w:t xml:space="preserve">Secular Stagnation </w:t>
      </w:r>
      <w:r>
        <w:rPr>
          <w:rFonts w:cstheme="minorHAnsi"/>
          <w:b/>
          <w:sz w:val="24"/>
          <w:szCs w:val="24"/>
        </w:rPr>
        <w:t>and t</w:t>
      </w:r>
      <w:r w:rsidR="003804C3" w:rsidRPr="00CA4DA0">
        <w:rPr>
          <w:rFonts w:cstheme="minorHAnsi"/>
          <w:b/>
          <w:sz w:val="24"/>
          <w:szCs w:val="24"/>
        </w:rPr>
        <w:t>he Age of Ultra Low Interest Rates</w:t>
      </w:r>
    </w:p>
    <w:p w14:paraId="7FC70BEA" w14:textId="1394F429" w:rsidR="00CD2FB4" w:rsidRPr="00CA4DA0" w:rsidRDefault="00CD2FB4" w:rsidP="00CD2FB4">
      <w:pPr>
        <w:rPr>
          <w:rFonts w:cstheme="minorHAnsi"/>
          <w:b/>
          <w:sz w:val="24"/>
          <w:szCs w:val="24"/>
        </w:rPr>
      </w:pPr>
      <w:r w:rsidRPr="00CA4DA0">
        <w:rPr>
          <w:rFonts w:cstheme="minorHAnsi"/>
          <w:bCs/>
          <w:sz w:val="24"/>
          <w:szCs w:val="24"/>
        </w:rPr>
        <w:t>By Eric Tymoigne</w:t>
      </w:r>
    </w:p>
    <w:p w14:paraId="1221068C" w14:textId="78A65BEE" w:rsidR="00D92BA4" w:rsidRPr="00CA4DA0" w:rsidRDefault="00CA4DA0" w:rsidP="00CD2FB4">
      <w:pPr>
        <w:rPr>
          <w:rFonts w:cstheme="minorHAnsi"/>
          <w:sz w:val="24"/>
          <w:szCs w:val="24"/>
        </w:rPr>
      </w:pPr>
      <w:r>
        <w:rPr>
          <w:rFonts w:cstheme="minorHAnsi"/>
          <w:sz w:val="24"/>
          <w:szCs w:val="24"/>
        </w:rPr>
        <w:t>A</w:t>
      </w:r>
      <w:r w:rsidR="00D92BA4" w:rsidRPr="00CA4DA0">
        <w:rPr>
          <w:rFonts w:cstheme="minorHAnsi"/>
          <w:sz w:val="24"/>
          <w:szCs w:val="24"/>
        </w:rPr>
        <w:t xml:space="preserve">ssociate </w:t>
      </w:r>
      <w:r w:rsidR="00CD2FB4" w:rsidRPr="00CA4DA0">
        <w:rPr>
          <w:rFonts w:cstheme="minorHAnsi"/>
          <w:sz w:val="24"/>
          <w:szCs w:val="24"/>
        </w:rPr>
        <w:t>p</w:t>
      </w:r>
      <w:r w:rsidR="00D92BA4" w:rsidRPr="00CA4DA0">
        <w:rPr>
          <w:rFonts w:cstheme="minorHAnsi"/>
          <w:sz w:val="24"/>
          <w:szCs w:val="24"/>
        </w:rPr>
        <w:t xml:space="preserve">rofessor of </w:t>
      </w:r>
      <w:r w:rsidR="00CD2FB4" w:rsidRPr="00CA4DA0">
        <w:rPr>
          <w:rFonts w:cstheme="minorHAnsi"/>
          <w:sz w:val="24"/>
          <w:szCs w:val="24"/>
        </w:rPr>
        <w:t>e</w:t>
      </w:r>
      <w:r w:rsidR="00D92BA4" w:rsidRPr="00CA4DA0">
        <w:rPr>
          <w:rFonts w:cstheme="minorHAnsi"/>
          <w:sz w:val="24"/>
          <w:szCs w:val="24"/>
        </w:rPr>
        <w:t>conomics</w:t>
      </w:r>
      <w:r w:rsidR="00CD2FB4" w:rsidRPr="00CA4DA0">
        <w:rPr>
          <w:rFonts w:cstheme="minorHAnsi"/>
          <w:sz w:val="24"/>
          <w:szCs w:val="24"/>
        </w:rPr>
        <w:t xml:space="preserve"> at</w:t>
      </w:r>
      <w:r w:rsidR="00D92BA4" w:rsidRPr="00CA4DA0">
        <w:rPr>
          <w:rFonts w:cstheme="minorHAnsi"/>
          <w:sz w:val="24"/>
          <w:szCs w:val="24"/>
        </w:rPr>
        <w:t xml:space="preserve"> Lewis &amp; Clark College</w:t>
      </w:r>
      <w:r w:rsidR="00CD2FB4" w:rsidRPr="00CA4DA0">
        <w:rPr>
          <w:rFonts w:cstheme="minorHAnsi"/>
          <w:sz w:val="24"/>
          <w:szCs w:val="24"/>
        </w:rPr>
        <w:t xml:space="preserve"> in Portland, Ore. </w:t>
      </w:r>
    </w:p>
    <w:p w14:paraId="1804EA20" w14:textId="77777777" w:rsidR="00D92BA4" w:rsidRPr="00CA4DA0" w:rsidRDefault="00D92BA4" w:rsidP="000E07CC">
      <w:pPr>
        <w:rPr>
          <w:rFonts w:cstheme="minorHAnsi"/>
          <w:sz w:val="24"/>
          <w:szCs w:val="24"/>
        </w:rPr>
      </w:pPr>
    </w:p>
    <w:p w14:paraId="31BA3327" w14:textId="3A1F58B2" w:rsidR="001A214B" w:rsidRPr="00CA4DA0" w:rsidRDefault="005F0A70" w:rsidP="00777A47">
      <w:pPr>
        <w:ind w:firstLine="720"/>
        <w:rPr>
          <w:rFonts w:cstheme="minorHAnsi"/>
          <w:sz w:val="24"/>
          <w:szCs w:val="24"/>
        </w:rPr>
      </w:pPr>
      <w:r w:rsidRPr="00CA4DA0">
        <w:rPr>
          <w:rFonts w:cstheme="minorHAnsi"/>
          <w:sz w:val="24"/>
          <w:szCs w:val="24"/>
        </w:rPr>
        <w:t>Post 2007,</w:t>
      </w:r>
      <w:r w:rsidR="00FF7B27" w:rsidRPr="00CA4DA0">
        <w:rPr>
          <w:rFonts w:cstheme="minorHAnsi"/>
          <w:sz w:val="24"/>
          <w:szCs w:val="24"/>
        </w:rPr>
        <w:t xml:space="preserve"> bond bears trumpeted the doom of</w:t>
      </w:r>
      <w:r w:rsidR="00612D5A">
        <w:rPr>
          <w:rFonts w:cstheme="minorHAnsi"/>
          <w:sz w:val="24"/>
          <w:szCs w:val="24"/>
        </w:rPr>
        <w:t xml:space="preserve"> US</w:t>
      </w:r>
      <w:r w:rsidR="00FF7B27" w:rsidRPr="00CA4DA0">
        <w:rPr>
          <w:rFonts w:cstheme="minorHAnsi"/>
          <w:sz w:val="24"/>
          <w:szCs w:val="24"/>
        </w:rPr>
        <w:t xml:space="preserve"> Treasuries.</w:t>
      </w:r>
      <w:r w:rsidR="00A425B2">
        <w:rPr>
          <w:rStyle w:val="FootnoteReference"/>
          <w:rFonts w:cstheme="minorHAnsi"/>
          <w:sz w:val="24"/>
          <w:szCs w:val="24"/>
        </w:rPr>
        <w:footnoteReference w:id="1"/>
      </w:r>
      <w:r w:rsidR="00FF7B27" w:rsidRPr="00CA4DA0">
        <w:rPr>
          <w:rFonts w:cstheme="minorHAnsi"/>
          <w:sz w:val="24"/>
          <w:szCs w:val="24"/>
        </w:rPr>
        <w:t xml:space="preserve"> Quantiative easing would lead to higher inflation, large fiscal deficits would take scarce saving away from investors, and the downgrading of the US public debt would </w:t>
      </w:r>
      <w:r w:rsidR="008C0A42">
        <w:rPr>
          <w:rFonts w:cstheme="minorHAnsi"/>
          <w:sz w:val="24"/>
          <w:szCs w:val="24"/>
        </w:rPr>
        <w:t xml:space="preserve">make financial market participants more wary of the </w:t>
      </w:r>
      <w:r w:rsidR="00FF7B27" w:rsidRPr="00CA4DA0">
        <w:rPr>
          <w:rFonts w:cstheme="minorHAnsi"/>
          <w:sz w:val="24"/>
          <w:szCs w:val="24"/>
        </w:rPr>
        <w:t>US government</w:t>
      </w:r>
      <w:r w:rsidR="008C0A42">
        <w:rPr>
          <w:rFonts w:cstheme="minorHAnsi"/>
          <w:sz w:val="24"/>
          <w:szCs w:val="24"/>
        </w:rPr>
        <w:t>’s ability and willingness to service its debt</w:t>
      </w:r>
      <w:r w:rsidRPr="00CA4DA0">
        <w:rPr>
          <w:rFonts w:cstheme="minorHAnsi"/>
          <w:sz w:val="24"/>
          <w:szCs w:val="24"/>
        </w:rPr>
        <w:t xml:space="preserve">. </w:t>
      </w:r>
      <w:r w:rsidR="00FF7B27" w:rsidRPr="00CA4DA0">
        <w:rPr>
          <w:rFonts w:cstheme="minorHAnsi"/>
          <w:sz w:val="24"/>
          <w:szCs w:val="24"/>
        </w:rPr>
        <w:t xml:space="preserve">The combined effects of the three channels were supposed to </w:t>
      </w:r>
      <w:r w:rsidR="001A214B" w:rsidRPr="00CA4DA0">
        <w:rPr>
          <w:rFonts w:cstheme="minorHAnsi"/>
          <w:sz w:val="24"/>
          <w:szCs w:val="24"/>
        </w:rPr>
        <w:t>generate a</w:t>
      </w:r>
      <w:r w:rsidR="00FF7B27" w:rsidRPr="00CA4DA0">
        <w:rPr>
          <w:rFonts w:cstheme="minorHAnsi"/>
          <w:sz w:val="24"/>
          <w:szCs w:val="24"/>
        </w:rPr>
        <w:t xml:space="preserve"> </w:t>
      </w:r>
      <w:r w:rsidR="001A214B" w:rsidRPr="00CA4DA0">
        <w:rPr>
          <w:rFonts w:cstheme="minorHAnsi"/>
          <w:sz w:val="24"/>
          <w:szCs w:val="24"/>
        </w:rPr>
        <w:t>rapid</w:t>
      </w:r>
      <w:r w:rsidR="00FF7B27" w:rsidRPr="00CA4DA0">
        <w:rPr>
          <w:rFonts w:cstheme="minorHAnsi"/>
          <w:sz w:val="24"/>
          <w:szCs w:val="24"/>
        </w:rPr>
        <w:t xml:space="preserve"> rise in interest rates</w:t>
      </w:r>
      <w:r w:rsidR="008C0A42">
        <w:rPr>
          <w:rFonts w:cstheme="minorHAnsi"/>
          <w:sz w:val="24"/>
          <w:szCs w:val="24"/>
        </w:rPr>
        <w:t>. I</w:t>
      </w:r>
      <w:r w:rsidRPr="00CA4DA0">
        <w:rPr>
          <w:rFonts w:cstheme="minorHAnsi"/>
          <w:sz w:val="24"/>
          <w:szCs w:val="24"/>
        </w:rPr>
        <w:t>nstead</w:t>
      </w:r>
      <w:r w:rsidR="00A613A0" w:rsidRPr="00CA4DA0">
        <w:rPr>
          <w:rFonts w:cstheme="minorHAnsi"/>
          <w:sz w:val="24"/>
          <w:szCs w:val="24"/>
        </w:rPr>
        <w:t>, under the guidance of monetary policy</w:t>
      </w:r>
      <w:r w:rsidRPr="00CA4DA0">
        <w:rPr>
          <w:rFonts w:cstheme="minorHAnsi"/>
          <w:sz w:val="24"/>
          <w:szCs w:val="24"/>
        </w:rPr>
        <w:t>,</w:t>
      </w:r>
      <w:r w:rsidR="006B7C6B" w:rsidRPr="00CA4DA0">
        <w:rPr>
          <w:rFonts w:cstheme="minorHAnsi"/>
          <w:sz w:val="24"/>
          <w:szCs w:val="24"/>
        </w:rPr>
        <w:t xml:space="preserve"> interest rates fell. L</w:t>
      </w:r>
      <w:r w:rsidRPr="00CA4DA0">
        <w:rPr>
          <w:rFonts w:cstheme="minorHAnsi"/>
          <w:sz w:val="24"/>
          <w:szCs w:val="24"/>
        </w:rPr>
        <w:t xml:space="preserve">ong-term rates </w:t>
      </w:r>
      <w:r w:rsidR="00AD5D4A" w:rsidRPr="00CA4DA0">
        <w:rPr>
          <w:rFonts w:cstheme="minorHAnsi"/>
          <w:sz w:val="24"/>
          <w:szCs w:val="24"/>
        </w:rPr>
        <w:t xml:space="preserve">fell </w:t>
      </w:r>
      <w:r w:rsidR="006B7C6B" w:rsidRPr="00CA4DA0">
        <w:rPr>
          <w:rFonts w:cstheme="minorHAnsi"/>
          <w:sz w:val="24"/>
          <w:szCs w:val="24"/>
        </w:rPr>
        <w:t xml:space="preserve">almost continuously </w:t>
      </w:r>
      <w:r w:rsidRPr="00CA4DA0">
        <w:rPr>
          <w:rFonts w:cstheme="minorHAnsi"/>
          <w:sz w:val="24"/>
          <w:szCs w:val="24"/>
        </w:rPr>
        <w:t>and</w:t>
      </w:r>
      <w:r w:rsidR="00AD5D4A" w:rsidRPr="00CA4DA0">
        <w:rPr>
          <w:rFonts w:cstheme="minorHAnsi"/>
          <w:sz w:val="24"/>
          <w:szCs w:val="24"/>
        </w:rPr>
        <w:t xml:space="preserve"> went negative to</w:t>
      </w:r>
      <w:r w:rsidRPr="00CA4DA0">
        <w:rPr>
          <w:rFonts w:cstheme="minorHAnsi"/>
          <w:sz w:val="24"/>
          <w:szCs w:val="24"/>
        </w:rPr>
        <w:t xml:space="preserve"> </w:t>
      </w:r>
      <w:r w:rsidR="00AD5D4A" w:rsidRPr="00CA4DA0">
        <w:rPr>
          <w:rFonts w:cstheme="minorHAnsi"/>
          <w:sz w:val="24"/>
          <w:szCs w:val="24"/>
        </w:rPr>
        <w:t>reach</w:t>
      </w:r>
      <w:r w:rsidR="00AA2E33" w:rsidRPr="00CA4DA0">
        <w:rPr>
          <w:rFonts w:cstheme="minorHAnsi"/>
          <w:sz w:val="24"/>
          <w:szCs w:val="24"/>
        </w:rPr>
        <w:t xml:space="preserve"> record low level</w:t>
      </w:r>
      <w:r w:rsidR="007A3C6B" w:rsidRPr="00CA4DA0">
        <w:rPr>
          <w:rFonts w:cstheme="minorHAnsi"/>
          <w:sz w:val="24"/>
          <w:szCs w:val="24"/>
        </w:rPr>
        <w:t>s</w:t>
      </w:r>
      <w:r w:rsidR="00AD5D4A" w:rsidRPr="00CA4DA0">
        <w:rPr>
          <w:rFonts w:cstheme="minorHAnsi"/>
          <w:sz w:val="24"/>
          <w:szCs w:val="24"/>
        </w:rPr>
        <w:t xml:space="preserve"> in August 2019. The market value of investment-grade bonds that traded at a negative yield in the United States</w:t>
      </w:r>
      <w:r w:rsidR="00AD5D4A" w:rsidRPr="00CA4DA0" w:rsidDel="00047AFE">
        <w:rPr>
          <w:rFonts w:cstheme="minorHAnsi"/>
          <w:sz w:val="24"/>
          <w:szCs w:val="24"/>
        </w:rPr>
        <w:t xml:space="preserve"> </w:t>
      </w:r>
      <w:r w:rsidR="00AD5D4A" w:rsidRPr="00CA4DA0">
        <w:rPr>
          <w:rFonts w:cstheme="minorHAnsi"/>
          <w:sz w:val="24"/>
          <w:szCs w:val="24"/>
        </w:rPr>
        <w:t>was $17 trillion (about 30% of the total market value) and almost 70% of euro government bonds did the same. Even some European junk bonds started to trade at a negative yield in the middle of 2019.</w:t>
      </w:r>
      <w:r w:rsidR="00653342" w:rsidRPr="00CA4DA0">
        <w:rPr>
          <w:rStyle w:val="FootnoteReference"/>
          <w:rFonts w:cstheme="minorHAnsi"/>
          <w:sz w:val="24"/>
          <w:szCs w:val="24"/>
        </w:rPr>
        <w:footnoteReference w:id="2"/>
      </w:r>
      <w:r w:rsidR="00653342" w:rsidRPr="00CA4DA0">
        <w:rPr>
          <w:rFonts w:cstheme="minorHAnsi"/>
          <w:sz w:val="24"/>
          <w:szCs w:val="24"/>
        </w:rPr>
        <w:t xml:space="preserve"> </w:t>
      </w:r>
      <w:r w:rsidRPr="00CA4DA0">
        <w:rPr>
          <w:rFonts w:cstheme="minorHAnsi"/>
          <w:sz w:val="24"/>
          <w:szCs w:val="24"/>
        </w:rPr>
        <w:t xml:space="preserve">Short-term rates, </w:t>
      </w:r>
      <w:r w:rsidR="00D548D4" w:rsidRPr="00CA4DA0">
        <w:rPr>
          <w:rFonts w:cstheme="minorHAnsi"/>
          <w:sz w:val="24"/>
          <w:szCs w:val="24"/>
        </w:rPr>
        <w:t>that</w:t>
      </w:r>
      <w:r w:rsidRPr="00CA4DA0">
        <w:rPr>
          <w:rFonts w:cstheme="minorHAnsi"/>
          <w:sz w:val="24"/>
          <w:szCs w:val="24"/>
        </w:rPr>
        <w:t xml:space="preserve"> follow closely the prevailing the fed funds rate, rose in the second part of the 2010s</w:t>
      </w:r>
      <w:r w:rsidR="006B7C6B" w:rsidRPr="00CA4DA0">
        <w:rPr>
          <w:rFonts w:cstheme="minorHAnsi"/>
          <w:sz w:val="24"/>
          <w:szCs w:val="24"/>
        </w:rPr>
        <w:t xml:space="preserve"> as the Fed tightened its policy,</w:t>
      </w:r>
      <w:r w:rsidRPr="00CA4DA0">
        <w:rPr>
          <w:rFonts w:cstheme="minorHAnsi"/>
          <w:sz w:val="24"/>
          <w:szCs w:val="24"/>
        </w:rPr>
        <w:t xml:space="preserve"> before falling again the late 2010s. </w:t>
      </w:r>
    </w:p>
    <w:p w14:paraId="2104EFAD" w14:textId="528390E0" w:rsidR="00423502" w:rsidRPr="00CA4DA0" w:rsidRDefault="00BF3DA0" w:rsidP="00BF3DA0">
      <w:pPr>
        <w:ind w:firstLine="720"/>
        <w:rPr>
          <w:rFonts w:cstheme="minorHAnsi"/>
          <w:sz w:val="24"/>
          <w:szCs w:val="24"/>
        </w:rPr>
      </w:pPr>
      <w:r w:rsidRPr="00CA4DA0">
        <w:rPr>
          <w:rFonts w:cstheme="minorHAnsi"/>
          <w:sz w:val="24"/>
          <w:szCs w:val="24"/>
        </w:rPr>
        <w:t>T</w:t>
      </w:r>
      <w:r w:rsidR="00D548D4" w:rsidRPr="00CA4DA0">
        <w:rPr>
          <w:rFonts w:cstheme="minorHAnsi"/>
          <w:sz w:val="24"/>
          <w:szCs w:val="24"/>
        </w:rPr>
        <w:t xml:space="preserve">he trend of declining interest rates is not new and low interest rates are likely to persist for a decade or more. </w:t>
      </w:r>
      <w:r w:rsidR="00347F6F" w:rsidRPr="00CA4DA0">
        <w:rPr>
          <w:rFonts w:cstheme="minorHAnsi"/>
          <w:sz w:val="24"/>
          <w:szCs w:val="24"/>
        </w:rPr>
        <w:t xml:space="preserve">While the </w:t>
      </w:r>
      <w:r w:rsidR="001851D0" w:rsidRPr="00CA4DA0">
        <w:rPr>
          <w:rFonts w:cstheme="minorHAnsi"/>
          <w:sz w:val="24"/>
          <w:szCs w:val="24"/>
        </w:rPr>
        <w:t>COVID-19</w:t>
      </w:r>
      <w:r w:rsidR="00347F6F" w:rsidRPr="00CA4DA0">
        <w:rPr>
          <w:rFonts w:cstheme="minorHAnsi"/>
          <w:sz w:val="24"/>
          <w:szCs w:val="24"/>
        </w:rPr>
        <w:t xml:space="preserve"> pandemic has reversed the negative yield trend</w:t>
      </w:r>
      <w:r w:rsidR="00AD5D4A" w:rsidRPr="00CA4DA0">
        <w:rPr>
          <w:rFonts w:cstheme="minorHAnsi"/>
          <w:sz w:val="24"/>
          <w:szCs w:val="24"/>
        </w:rPr>
        <w:t xml:space="preserve"> on long-term rates</w:t>
      </w:r>
      <w:r w:rsidR="00347F6F" w:rsidRPr="00CA4DA0">
        <w:rPr>
          <w:rFonts w:cstheme="minorHAnsi"/>
          <w:sz w:val="24"/>
          <w:szCs w:val="24"/>
        </w:rPr>
        <w:t xml:space="preserve">, </w:t>
      </w:r>
      <w:r w:rsidR="00A40821" w:rsidRPr="00CA4DA0">
        <w:rPr>
          <w:rFonts w:cstheme="minorHAnsi"/>
          <w:sz w:val="24"/>
          <w:szCs w:val="24"/>
        </w:rPr>
        <w:t>the economic environment that has produced ultra</w:t>
      </w:r>
      <w:r w:rsidR="007361EB" w:rsidRPr="00CA4DA0">
        <w:rPr>
          <w:rFonts w:cstheme="minorHAnsi"/>
          <w:sz w:val="24"/>
          <w:szCs w:val="24"/>
        </w:rPr>
        <w:t>-</w:t>
      </w:r>
      <w:r w:rsidR="00A40821" w:rsidRPr="00CA4DA0">
        <w:rPr>
          <w:rFonts w:cstheme="minorHAnsi"/>
          <w:sz w:val="24"/>
          <w:szCs w:val="24"/>
        </w:rPr>
        <w:t>low interest rate</w:t>
      </w:r>
      <w:r w:rsidR="007361EB" w:rsidRPr="00CA4DA0">
        <w:rPr>
          <w:rFonts w:cstheme="minorHAnsi"/>
          <w:sz w:val="24"/>
          <w:szCs w:val="24"/>
        </w:rPr>
        <w:t>s</w:t>
      </w:r>
      <w:r w:rsidR="00A40821" w:rsidRPr="00CA4DA0">
        <w:rPr>
          <w:rFonts w:cstheme="minorHAnsi"/>
          <w:sz w:val="24"/>
          <w:szCs w:val="24"/>
        </w:rPr>
        <w:t xml:space="preserve"> is still present. </w:t>
      </w:r>
      <w:r w:rsidR="000C0B61" w:rsidRPr="00CA4DA0">
        <w:rPr>
          <w:rFonts w:cstheme="minorHAnsi"/>
          <w:sz w:val="24"/>
          <w:szCs w:val="24"/>
        </w:rPr>
        <w:t>R</w:t>
      </w:r>
      <w:r w:rsidR="00A40821" w:rsidRPr="00CA4DA0">
        <w:rPr>
          <w:rFonts w:cstheme="minorHAnsi"/>
          <w:sz w:val="24"/>
          <w:szCs w:val="24"/>
        </w:rPr>
        <w:t>ising</w:t>
      </w:r>
      <w:r w:rsidR="007361EB" w:rsidRPr="00CA4DA0">
        <w:rPr>
          <w:rFonts w:cstheme="minorHAnsi"/>
          <w:sz w:val="24"/>
          <w:szCs w:val="24"/>
        </w:rPr>
        <w:t xml:space="preserve"> income and wealth</w:t>
      </w:r>
      <w:r w:rsidR="00A40821" w:rsidRPr="00CA4DA0">
        <w:rPr>
          <w:rFonts w:cstheme="minorHAnsi"/>
          <w:sz w:val="24"/>
          <w:szCs w:val="24"/>
        </w:rPr>
        <w:t xml:space="preserve"> inequalit</w:t>
      </w:r>
      <w:r w:rsidR="007361EB" w:rsidRPr="00CA4DA0">
        <w:rPr>
          <w:rFonts w:cstheme="minorHAnsi"/>
          <w:sz w:val="24"/>
          <w:szCs w:val="24"/>
        </w:rPr>
        <w:t>ies</w:t>
      </w:r>
      <w:r w:rsidR="00A40821" w:rsidRPr="00CA4DA0">
        <w:rPr>
          <w:rFonts w:cstheme="minorHAnsi"/>
          <w:sz w:val="24"/>
          <w:szCs w:val="24"/>
        </w:rPr>
        <w:t xml:space="preserve">, </w:t>
      </w:r>
      <w:r w:rsidR="00213233" w:rsidRPr="00CA4DA0">
        <w:rPr>
          <w:rFonts w:cstheme="minorHAnsi"/>
          <w:sz w:val="24"/>
          <w:szCs w:val="24"/>
        </w:rPr>
        <w:t>slow</w:t>
      </w:r>
      <w:r w:rsidR="00612D5A">
        <w:rPr>
          <w:rFonts w:cstheme="minorHAnsi"/>
          <w:sz w:val="24"/>
          <w:szCs w:val="24"/>
        </w:rPr>
        <w:t xml:space="preserve"> jobless</w:t>
      </w:r>
      <w:r w:rsidR="00A40821" w:rsidRPr="00CA4DA0">
        <w:rPr>
          <w:rFonts w:cstheme="minorHAnsi"/>
          <w:sz w:val="24"/>
          <w:szCs w:val="24"/>
        </w:rPr>
        <w:t xml:space="preserve"> recover</w:t>
      </w:r>
      <w:r w:rsidR="00213233" w:rsidRPr="00CA4DA0">
        <w:rPr>
          <w:rFonts w:cstheme="minorHAnsi"/>
          <w:sz w:val="24"/>
          <w:szCs w:val="24"/>
        </w:rPr>
        <w:t>ies,</w:t>
      </w:r>
      <w:r w:rsidR="00A40821" w:rsidRPr="00CA4DA0">
        <w:rPr>
          <w:rFonts w:cstheme="minorHAnsi"/>
          <w:sz w:val="24"/>
          <w:szCs w:val="24"/>
        </w:rPr>
        <w:t xml:space="preserve"> low inflation</w:t>
      </w:r>
      <w:r w:rsidR="00213233" w:rsidRPr="00CA4DA0">
        <w:rPr>
          <w:rFonts w:cstheme="minorHAnsi"/>
          <w:sz w:val="24"/>
          <w:szCs w:val="24"/>
        </w:rPr>
        <w:t xml:space="preserve"> and long-term trend</w:t>
      </w:r>
      <w:r w:rsidR="007A3C6B" w:rsidRPr="00CA4DA0">
        <w:rPr>
          <w:rFonts w:cstheme="minorHAnsi"/>
          <w:sz w:val="24"/>
          <w:szCs w:val="24"/>
        </w:rPr>
        <w:t>s</w:t>
      </w:r>
      <w:r w:rsidR="00213233" w:rsidRPr="00CA4DA0">
        <w:rPr>
          <w:rFonts w:cstheme="minorHAnsi"/>
          <w:sz w:val="24"/>
          <w:szCs w:val="24"/>
        </w:rPr>
        <w:t xml:space="preserve"> toward a shrinking population in developed economies</w:t>
      </w:r>
      <w:r w:rsidR="00A40821" w:rsidRPr="00CA4DA0">
        <w:rPr>
          <w:rFonts w:cstheme="minorHAnsi"/>
          <w:sz w:val="24"/>
          <w:szCs w:val="24"/>
        </w:rPr>
        <w:t xml:space="preserve"> </w:t>
      </w:r>
      <w:r w:rsidR="00213233" w:rsidRPr="00CA4DA0">
        <w:rPr>
          <w:rFonts w:cstheme="minorHAnsi"/>
          <w:sz w:val="24"/>
          <w:szCs w:val="24"/>
        </w:rPr>
        <w:t xml:space="preserve">point toward </w:t>
      </w:r>
      <w:r w:rsidR="001851D0" w:rsidRPr="00CA4DA0">
        <w:rPr>
          <w:rFonts w:cstheme="minorHAnsi"/>
          <w:sz w:val="24"/>
          <w:szCs w:val="24"/>
        </w:rPr>
        <w:t>the</w:t>
      </w:r>
      <w:r w:rsidR="007B57FA" w:rsidRPr="00CA4DA0">
        <w:rPr>
          <w:rFonts w:cstheme="minorHAnsi"/>
          <w:sz w:val="24"/>
          <w:szCs w:val="24"/>
        </w:rPr>
        <w:t xml:space="preserve"> </w:t>
      </w:r>
      <w:r w:rsidR="00213233" w:rsidRPr="00CA4DA0">
        <w:rPr>
          <w:rFonts w:cstheme="minorHAnsi"/>
          <w:sz w:val="24"/>
          <w:szCs w:val="24"/>
        </w:rPr>
        <w:t xml:space="preserve">persistence of </w:t>
      </w:r>
      <w:r w:rsidR="001851D0" w:rsidRPr="00CA4DA0">
        <w:rPr>
          <w:rFonts w:cstheme="minorHAnsi"/>
          <w:sz w:val="24"/>
          <w:szCs w:val="24"/>
        </w:rPr>
        <w:t xml:space="preserve">a </w:t>
      </w:r>
      <w:r w:rsidR="000C0B61" w:rsidRPr="00CA4DA0">
        <w:rPr>
          <w:rFonts w:cstheme="minorHAnsi"/>
          <w:sz w:val="24"/>
          <w:szCs w:val="24"/>
        </w:rPr>
        <w:t>low-growth</w:t>
      </w:r>
      <w:r w:rsidR="001851D0" w:rsidRPr="00CA4DA0">
        <w:rPr>
          <w:rFonts w:cstheme="minorHAnsi"/>
          <w:sz w:val="24"/>
          <w:szCs w:val="24"/>
        </w:rPr>
        <w:t>,</w:t>
      </w:r>
      <w:r w:rsidR="000C0B61" w:rsidRPr="00CA4DA0">
        <w:rPr>
          <w:rFonts w:cstheme="minorHAnsi"/>
          <w:sz w:val="24"/>
          <w:szCs w:val="24"/>
        </w:rPr>
        <w:t xml:space="preserve"> </w:t>
      </w:r>
      <w:r w:rsidR="00213233" w:rsidRPr="00CA4DA0">
        <w:rPr>
          <w:rFonts w:cstheme="minorHAnsi"/>
          <w:sz w:val="24"/>
          <w:szCs w:val="24"/>
        </w:rPr>
        <w:t>low</w:t>
      </w:r>
      <w:r w:rsidR="000C0B61" w:rsidRPr="00CA4DA0">
        <w:rPr>
          <w:rFonts w:cstheme="minorHAnsi"/>
          <w:sz w:val="24"/>
          <w:szCs w:val="24"/>
        </w:rPr>
        <w:t>-i</w:t>
      </w:r>
      <w:r w:rsidR="001851D0" w:rsidRPr="00CA4DA0">
        <w:rPr>
          <w:rFonts w:cstheme="minorHAnsi"/>
          <w:sz w:val="24"/>
          <w:szCs w:val="24"/>
        </w:rPr>
        <w:t>nterest-</w:t>
      </w:r>
      <w:r w:rsidR="00213233" w:rsidRPr="00CA4DA0">
        <w:rPr>
          <w:rFonts w:cstheme="minorHAnsi"/>
          <w:sz w:val="24"/>
          <w:szCs w:val="24"/>
        </w:rPr>
        <w:t>rates</w:t>
      </w:r>
      <w:r w:rsidR="000C0B61" w:rsidRPr="00CA4DA0">
        <w:rPr>
          <w:rFonts w:cstheme="minorHAnsi"/>
          <w:sz w:val="24"/>
          <w:szCs w:val="24"/>
        </w:rPr>
        <w:t xml:space="preserve"> </w:t>
      </w:r>
      <w:r w:rsidR="00612D5A">
        <w:rPr>
          <w:rFonts w:cstheme="minorHAnsi"/>
          <w:sz w:val="24"/>
          <w:szCs w:val="24"/>
        </w:rPr>
        <w:t xml:space="preserve">economic </w:t>
      </w:r>
      <w:r w:rsidR="000C0B61" w:rsidRPr="00CA4DA0">
        <w:rPr>
          <w:rFonts w:cstheme="minorHAnsi"/>
          <w:sz w:val="24"/>
          <w:szCs w:val="24"/>
        </w:rPr>
        <w:t>environment</w:t>
      </w:r>
      <w:r w:rsidR="00612D5A">
        <w:rPr>
          <w:rFonts w:cstheme="minorHAnsi"/>
          <w:sz w:val="24"/>
          <w:szCs w:val="24"/>
        </w:rPr>
        <w:t xml:space="preserve">. </w:t>
      </w:r>
      <w:r w:rsidR="00C00724" w:rsidRPr="00CA4DA0">
        <w:rPr>
          <w:rFonts w:cstheme="minorHAnsi"/>
          <w:sz w:val="24"/>
          <w:szCs w:val="24"/>
        </w:rPr>
        <w:t xml:space="preserve">Unless economic policies are put in place to </w:t>
      </w:r>
      <w:r w:rsidR="00213233" w:rsidRPr="00CA4DA0">
        <w:rPr>
          <w:rFonts w:cstheme="minorHAnsi"/>
          <w:sz w:val="24"/>
          <w:szCs w:val="24"/>
        </w:rPr>
        <w:t xml:space="preserve">reverse the stagnationist trends, central banks will have limited willingness </w:t>
      </w:r>
      <w:r w:rsidR="007A3C6B" w:rsidRPr="00CA4DA0">
        <w:rPr>
          <w:rFonts w:cstheme="minorHAnsi"/>
          <w:sz w:val="24"/>
          <w:szCs w:val="24"/>
        </w:rPr>
        <w:t>and</w:t>
      </w:r>
      <w:r w:rsidR="00213233" w:rsidRPr="00CA4DA0">
        <w:rPr>
          <w:rFonts w:cstheme="minorHAnsi"/>
          <w:sz w:val="24"/>
          <w:szCs w:val="24"/>
        </w:rPr>
        <w:t xml:space="preserve"> ability to raise </w:t>
      </w:r>
      <w:r w:rsidR="00AD5D4A" w:rsidRPr="00CA4DA0">
        <w:rPr>
          <w:rFonts w:cstheme="minorHAnsi"/>
          <w:sz w:val="24"/>
          <w:szCs w:val="24"/>
        </w:rPr>
        <w:t xml:space="preserve">their policy rates in any significant way and so other interest rates will tend to stay low. </w:t>
      </w:r>
      <w:r w:rsidR="00D548D4" w:rsidRPr="00CA4DA0">
        <w:rPr>
          <w:rFonts w:cstheme="minorHAnsi"/>
          <w:sz w:val="24"/>
          <w:szCs w:val="24"/>
        </w:rPr>
        <w:t>This has important implications</w:t>
      </w:r>
      <w:r w:rsidR="006B1A96">
        <w:rPr>
          <w:rFonts w:cstheme="minorHAnsi"/>
          <w:sz w:val="24"/>
          <w:szCs w:val="24"/>
        </w:rPr>
        <w:t xml:space="preserve"> for</w:t>
      </w:r>
      <w:r w:rsidR="00D548D4" w:rsidRPr="00CA4DA0">
        <w:rPr>
          <w:rFonts w:cstheme="minorHAnsi"/>
          <w:sz w:val="24"/>
          <w:szCs w:val="24"/>
        </w:rPr>
        <w:t xml:space="preserve"> the financial stability of Money Manager Capitalism because </w:t>
      </w:r>
      <w:r w:rsidR="00FA0602" w:rsidRPr="00CA4DA0">
        <w:rPr>
          <w:rFonts w:cstheme="minorHAnsi"/>
          <w:sz w:val="24"/>
          <w:szCs w:val="24"/>
        </w:rPr>
        <w:t xml:space="preserve">a </w:t>
      </w:r>
      <w:r w:rsidR="00D548D4" w:rsidRPr="00CA4DA0">
        <w:rPr>
          <w:rFonts w:cstheme="minorHAnsi"/>
          <w:sz w:val="24"/>
          <w:szCs w:val="24"/>
        </w:rPr>
        <w:t>low</w:t>
      </w:r>
      <w:r w:rsidR="00FA0602" w:rsidRPr="00CA4DA0">
        <w:rPr>
          <w:rFonts w:cstheme="minorHAnsi"/>
          <w:sz w:val="24"/>
          <w:szCs w:val="24"/>
        </w:rPr>
        <w:t>-interest-</w:t>
      </w:r>
      <w:r w:rsidR="00D548D4" w:rsidRPr="00CA4DA0">
        <w:rPr>
          <w:rFonts w:cstheme="minorHAnsi"/>
          <w:sz w:val="24"/>
          <w:szCs w:val="24"/>
        </w:rPr>
        <w:t>rate</w:t>
      </w:r>
      <w:r w:rsidR="00FA0602" w:rsidRPr="00CA4DA0">
        <w:rPr>
          <w:rFonts w:cstheme="minorHAnsi"/>
          <w:sz w:val="24"/>
          <w:szCs w:val="24"/>
        </w:rPr>
        <w:t xml:space="preserve"> environment is </w:t>
      </w:r>
      <w:r w:rsidR="00D548D4" w:rsidRPr="00CA4DA0">
        <w:rPr>
          <w:rFonts w:cstheme="minorHAnsi"/>
          <w:sz w:val="24"/>
          <w:szCs w:val="24"/>
        </w:rPr>
        <w:t xml:space="preserve">prone to promote the reliance </w:t>
      </w:r>
      <w:r w:rsidR="00612D5A">
        <w:rPr>
          <w:rFonts w:cstheme="minorHAnsi"/>
          <w:sz w:val="24"/>
          <w:szCs w:val="24"/>
        </w:rPr>
        <w:t>on</w:t>
      </w:r>
      <w:r w:rsidR="00D548D4" w:rsidRPr="00CA4DA0">
        <w:rPr>
          <w:rFonts w:cstheme="minorHAnsi"/>
          <w:sz w:val="24"/>
          <w:szCs w:val="24"/>
        </w:rPr>
        <w:t xml:space="preserve"> leverage and capital gains, aka Ponzi finance, to reach targeted rates of return. </w:t>
      </w:r>
      <w:r w:rsidR="008C0A42">
        <w:rPr>
          <w:rFonts w:cstheme="minorHAnsi"/>
          <w:sz w:val="24"/>
          <w:szCs w:val="24"/>
        </w:rPr>
        <w:t xml:space="preserve">Economic stagnation also </w:t>
      </w:r>
      <w:r w:rsidR="00B26CA9">
        <w:rPr>
          <w:rFonts w:cstheme="minorHAnsi"/>
          <w:sz w:val="24"/>
          <w:szCs w:val="24"/>
        </w:rPr>
        <w:t>bring</w:t>
      </w:r>
      <w:r w:rsidR="006B1A96">
        <w:rPr>
          <w:rFonts w:cstheme="minorHAnsi"/>
          <w:sz w:val="24"/>
          <w:szCs w:val="24"/>
        </w:rPr>
        <w:t>s</w:t>
      </w:r>
      <w:r w:rsidR="00B26CA9">
        <w:rPr>
          <w:rFonts w:cstheme="minorHAnsi"/>
          <w:sz w:val="24"/>
          <w:szCs w:val="24"/>
        </w:rPr>
        <w:t xml:space="preserve"> forward </w:t>
      </w:r>
      <w:r w:rsidR="008C0A42">
        <w:rPr>
          <w:rFonts w:cstheme="minorHAnsi"/>
          <w:sz w:val="24"/>
          <w:szCs w:val="24"/>
        </w:rPr>
        <w:t>the</w:t>
      </w:r>
      <w:r w:rsidR="00B26CA9">
        <w:rPr>
          <w:rFonts w:cstheme="minorHAnsi"/>
          <w:sz w:val="24"/>
          <w:szCs w:val="24"/>
        </w:rPr>
        <w:t xml:space="preserve"> central</w:t>
      </w:r>
      <w:r w:rsidR="008C0A42">
        <w:rPr>
          <w:rFonts w:cstheme="minorHAnsi"/>
          <w:sz w:val="24"/>
          <w:szCs w:val="24"/>
        </w:rPr>
        <w:t xml:space="preserve"> role government</w:t>
      </w:r>
      <w:r w:rsidR="00B26CA9">
        <w:rPr>
          <w:rFonts w:cstheme="minorHAnsi"/>
          <w:sz w:val="24"/>
          <w:szCs w:val="24"/>
        </w:rPr>
        <w:t xml:space="preserve">s can play </w:t>
      </w:r>
      <w:r w:rsidR="00F93FB9">
        <w:rPr>
          <w:rFonts w:cstheme="minorHAnsi"/>
          <w:sz w:val="24"/>
          <w:szCs w:val="24"/>
        </w:rPr>
        <w:t>to put</w:t>
      </w:r>
      <w:r w:rsidR="008C0A42">
        <w:rPr>
          <w:rFonts w:cstheme="minorHAnsi"/>
          <w:sz w:val="24"/>
          <w:szCs w:val="24"/>
        </w:rPr>
        <w:t xml:space="preserve"> </w:t>
      </w:r>
      <w:r w:rsidR="00B26CA9">
        <w:rPr>
          <w:rFonts w:cstheme="minorHAnsi"/>
          <w:sz w:val="24"/>
          <w:szCs w:val="24"/>
        </w:rPr>
        <w:t>an</w:t>
      </w:r>
      <w:r w:rsidR="008C0A42">
        <w:rPr>
          <w:rFonts w:cstheme="minorHAnsi"/>
          <w:sz w:val="24"/>
          <w:szCs w:val="24"/>
        </w:rPr>
        <w:t xml:space="preserve"> economy on a more sustainable and equitable growth </w:t>
      </w:r>
      <w:r w:rsidR="007564E8">
        <w:rPr>
          <w:rFonts w:cstheme="minorHAnsi"/>
          <w:sz w:val="24"/>
          <w:szCs w:val="24"/>
        </w:rPr>
        <w:t>path</w:t>
      </w:r>
      <w:r w:rsidR="008C0A42">
        <w:rPr>
          <w:rFonts w:cstheme="minorHAnsi"/>
          <w:sz w:val="24"/>
          <w:szCs w:val="24"/>
        </w:rPr>
        <w:t>.</w:t>
      </w:r>
    </w:p>
    <w:p w14:paraId="043C1616" w14:textId="0279771C" w:rsidR="00D548D4" w:rsidRPr="00CA4DA0" w:rsidRDefault="00D548D4" w:rsidP="00BF3DA0">
      <w:pPr>
        <w:ind w:firstLine="720"/>
        <w:rPr>
          <w:rFonts w:cstheme="minorHAnsi"/>
          <w:sz w:val="24"/>
          <w:szCs w:val="24"/>
        </w:rPr>
      </w:pPr>
      <w:r w:rsidRPr="00CA4DA0">
        <w:rPr>
          <w:rFonts w:cstheme="minorHAnsi"/>
          <w:sz w:val="24"/>
          <w:szCs w:val="24"/>
        </w:rPr>
        <w:lastRenderedPageBreak/>
        <w:t xml:space="preserve">The first part of the </w:t>
      </w:r>
      <w:r w:rsidR="006B1A96">
        <w:rPr>
          <w:rFonts w:cstheme="minorHAnsi"/>
          <w:sz w:val="24"/>
          <w:szCs w:val="24"/>
        </w:rPr>
        <w:t>chapter</w:t>
      </w:r>
      <w:r w:rsidRPr="00CA4DA0">
        <w:rPr>
          <w:rFonts w:cstheme="minorHAnsi"/>
          <w:sz w:val="24"/>
          <w:szCs w:val="24"/>
        </w:rPr>
        <w:t xml:space="preserve"> review</w:t>
      </w:r>
      <w:r w:rsidR="00F93FB9">
        <w:rPr>
          <w:rFonts w:cstheme="minorHAnsi"/>
          <w:sz w:val="24"/>
          <w:szCs w:val="24"/>
        </w:rPr>
        <w:t>s</w:t>
      </w:r>
      <w:r w:rsidRPr="00CA4DA0">
        <w:rPr>
          <w:rFonts w:cstheme="minorHAnsi"/>
          <w:sz w:val="24"/>
          <w:szCs w:val="24"/>
        </w:rPr>
        <w:t xml:space="preserve"> </w:t>
      </w:r>
      <w:r w:rsidR="00FA0602" w:rsidRPr="00CA4DA0">
        <w:rPr>
          <w:rFonts w:cstheme="minorHAnsi"/>
          <w:sz w:val="24"/>
          <w:szCs w:val="24"/>
        </w:rPr>
        <w:t>the trend in interest rate</w:t>
      </w:r>
      <w:r w:rsidR="00612D5A">
        <w:rPr>
          <w:rFonts w:cstheme="minorHAnsi"/>
          <w:sz w:val="24"/>
          <w:szCs w:val="24"/>
        </w:rPr>
        <w:t>s</w:t>
      </w:r>
      <w:r w:rsidR="00FA0602" w:rsidRPr="00CA4DA0">
        <w:rPr>
          <w:rFonts w:cstheme="minorHAnsi"/>
          <w:sz w:val="24"/>
          <w:szCs w:val="24"/>
        </w:rPr>
        <w:t xml:space="preserve"> over the past century and argues that monetary policy is the overwhelming determinan</w:t>
      </w:r>
      <w:r w:rsidR="00C8468A" w:rsidRPr="00CA4DA0">
        <w:rPr>
          <w:rFonts w:cstheme="minorHAnsi"/>
          <w:sz w:val="24"/>
          <w:szCs w:val="24"/>
        </w:rPr>
        <w:t xml:space="preserve">t of this trend. Fiscal policy </w:t>
      </w:r>
      <w:r w:rsidR="00FA0602" w:rsidRPr="00CA4DA0">
        <w:rPr>
          <w:rFonts w:cstheme="minorHAnsi"/>
          <w:sz w:val="24"/>
          <w:szCs w:val="24"/>
        </w:rPr>
        <w:t xml:space="preserve">and credit risk are </w:t>
      </w:r>
      <w:r w:rsidR="00215604" w:rsidRPr="00CA4DA0">
        <w:rPr>
          <w:rFonts w:cstheme="minorHAnsi"/>
          <w:sz w:val="24"/>
          <w:szCs w:val="24"/>
        </w:rPr>
        <w:t xml:space="preserve">at best </w:t>
      </w:r>
      <w:r w:rsidR="00FA0602" w:rsidRPr="00CA4DA0">
        <w:rPr>
          <w:rFonts w:cstheme="minorHAnsi"/>
          <w:sz w:val="24"/>
          <w:szCs w:val="24"/>
        </w:rPr>
        <w:t>secondary determinant</w:t>
      </w:r>
      <w:r w:rsidR="00F93FB9">
        <w:rPr>
          <w:rFonts w:cstheme="minorHAnsi"/>
          <w:sz w:val="24"/>
          <w:szCs w:val="24"/>
        </w:rPr>
        <w:t>s</w:t>
      </w:r>
      <w:r w:rsidR="00FA0602" w:rsidRPr="00CA4DA0">
        <w:rPr>
          <w:rFonts w:cstheme="minorHAnsi"/>
          <w:sz w:val="24"/>
          <w:szCs w:val="24"/>
        </w:rPr>
        <w:t xml:space="preserve"> </w:t>
      </w:r>
      <w:r w:rsidR="00C8468A" w:rsidRPr="00CA4DA0">
        <w:rPr>
          <w:rFonts w:cstheme="minorHAnsi"/>
          <w:sz w:val="24"/>
          <w:szCs w:val="24"/>
        </w:rPr>
        <w:t xml:space="preserve">and inflation plays </w:t>
      </w:r>
      <w:r w:rsidR="00F93FB9">
        <w:rPr>
          <w:rFonts w:cstheme="minorHAnsi"/>
          <w:sz w:val="24"/>
          <w:szCs w:val="24"/>
        </w:rPr>
        <w:t xml:space="preserve">a role </w:t>
      </w:r>
      <w:r w:rsidR="00C8468A" w:rsidRPr="00CA4DA0">
        <w:rPr>
          <w:rFonts w:cstheme="minorHAnsi"/>
          <w:sz w:val="24"/>
          <w:szCs w:val="24"/>
        </w:rPr>
        <w:t xml:space="preserve">mostly through its impact on monetary policy. </w:t>
      </w:r>
      <w:r w:rsidR="00CA4DA0">
        <w:rPr>
          <w:rFonts w:cstheme="minorHAnsi"/>
          <w:sz w:val="24"/>
          <w:szCs w:val="24"/>
        </w:rPr>
        <w:t xml:space="preserve">As such, to gain </w:t>
      </w:r>
      <w:r w:rsidR="00612D5A">
        <w:rPr>
          <w:rFonts w:cstheme="minorHAnsi"/>
          <w:sz w:val="24"/>
          <w:szCs w:val="24"/>
        </w:rPr>
        <w:t xml:space="preserve">an </w:t>
      </w:r>
      <w:r w:rsidR="00CA4DA0">
        <w:rPr>
          <w:rFonts w:cstheme="minorHAnsi"/>
          <w:sz w:val="24"/>
          <w:szCs w:val="24"/>
        </w:rPr>
        <w:t>un</w:t>
      </w:r>
      <w:r w:rsidR="00215604" w:rsidRPr="00CA4DA0">
        <w:rPr>
          <w:rFonts w:cstheme="minorHAnsi"/>
          <w:sz w:val="24"/>
          <w:szCs w:val="24"/>
        </w:rPr>
        <w:t>derstanding of what the future trend o</w:t>
      </w:r>
      <w:r w:rsidR="00F93FB9">
        <w:rPr>
          <w:rFonts w:cstheme="minorHAnsi"/>
          <w:sz w:val="24"/>
          <w:szCs w:val="24"/>
        </w:rPr>
        <w:t>f</w:t>
      </w:r>
      <w:r w:rsidR="00215604" w:rsidRPr="00CA4DA0">
        <w:rPr>
          <w:rFonts w:cstheme="minorHAnsi"/>
          <w:sz w:val="24"/>
          <w:szCs w:val="24"/>
        </w:rPr>
        <w:t xml:space="preserve"> interest rate</w:t>
      </w:r>
      <w:r w:rsidR="00F93FB9">
        <w:rPr>
          <w:rFonts w:cstheme="minorHAnsi"/>
          <w:sz w:val="24"/>
          <w:szCs w:val="24"/>
        </w:rPr>
        <w:t>s</w:t>
      </w:r>
      <w:r w:rsidR="00215604" w:rsidRPr="00CA4DA0">
        <w:rPr>
          <w:rFonts w:cstheme="minorHAnsi"/>
          <w:sz w:val="24"/>
          <w:szCs w:val="24"/>
        </w:rPr>
        <w:t xml:space="preserve"> will be, one must gain some insight</w:t>
      </w:r>
      <w:r w:rsidR="00612D5A">
        <w:rPr>
          <w:rFonts w:cstheme="minorHAnsi"/>
          <w:sz w:val="24"/>
          <w:szCs w:val="24"/>
        </w:rPr>
        <w:t>s</w:t>
      </w:r>
      <w:r w:rsidR="00215604" w:rsidRPr="00CA4DA0">
        <w:rPr>
          <w:rFonts w:cstheme="minorHAnsi"/>
          <w:sz w:val="24"/>
          <w:szCs w:val="24"/>
        </w:rPr>
        <w:t xml:space="preserve"> into the underlying factors that could influence the decision</w:t>
      </w:r>
      <w:r w:rsidR="00F93FB9">
        <w:rPr>
          <w:rFonts w:cstheme="minorHAnsi"/>
          <w:sz w:val="24"/>
          <w:szCs w:val="24"/>
        </w:rPr>
        <w:t>s</w:t>
      </w:r>
      <w:r w:rsidR="00215604" w:rsidRPr="00CA4DA0">
        <w:rPr>
          <w:rFonts w:cstheme="minorHAnsi"/>
          <w:sz w:val="24"/>
          <w:szCs w:val="24"/>
        </w:rPr>
        <w:t xml:space="preserve"> of the Federal Open Market Committee (FOMC). The second part of the paper argues that the fundamental economic trends in the economy point to a limited ability and willingness of the FOMC to raise interest rates. The third part of the paper argues that a protracted period of low interest rates </w:t>
      </w:r>
      <w:r w:rsidR="00F93FB9">
        <w:rPr>
          <w:rFonts w:cstheme="minorHAnsi"/>
          <w:sz w:val="24"/>
          <w:szCs w:val="24"/>
        </w:rPr>
        <w:t xml:space="preserve">and low economic growth </w:t>
      </w:r>
      <w:r w:rsidR="00215604" w:rsidRPr="00CA4DA0">
        <w:rPr>
          <w:rFonts w:cstheme="minorHAnsi"/>
          <w:sz w:val="24"/>
          <w:szCs w:val="24"/>
        </w:rPr>
        <w:t>ha</w:t>
      </w:r>
      <w:r w:rsidR="00F93FB9">
        <w:rPr>
          <w:rFonts w:cstheme="minorHAnsi"/>
          <w:sz w:val="24"/>
          <w:szCs w:val="24"/>
        </w:rPr>
        <w:t>s</w:t>
      </w:r>
      <w:r w:rsidR="00215604" w:rsidRPr="00CA4DA0">
        <w:rPr>
          <w:rFonts w:cstheme="minorHAnsi"/>
          <w:sz w:val="24"/>
          <w:szCs w:val="24"/>
        </w:rPr>
        <w:t xml:space="preserve"> major negative impact</w:t>
      </w:r>
      <w:r w:rsidR="006B1A96">
        <w:rPr>
          <w:rFonts w:cstheme="minorHAnsi"/>
          <w:sz w:val="24"/>
          <w:szCs w:val="24"/>
        </w:rPr>
        <w:t>s</w:t>
      </w:r>
      <w:r w:rsidR="00215604" w:rsidRPr="00CA4DA0">
        <w:rPr>
          <w:rFonts w:cstheme="minorHAnsi"/>
          <w:sz w:val="24"/>
          <w:szCs w:val="24"/>
        </w:rPr>
        <w:t xml:space="preserve"> for the dynamics of Money Manager Capitalism and that the government has </w:t>
      </w:r>
      <w:r w:rsidR="00B26CA9" w:rsidRPr="00CA4DA0">
        <w:rPr>
          <w:rFonts w:cstheme="minorHAnsi"/>
          <w:sz w:val="24"/>
          <w:szCs w:val="24"/>
        </w:rPr>
        <w:t>an</w:t>
      </w:r>
      <w:r w:rsidR="00215604" w:rsidRPr="00CA4DA0">
        <w:rPr>
          <w:rFonts w:cstheme="minorHAnsi"/>
          <w:sz w:val="24"/>
          <w:szCs w:val="24"/>
        </w:rPr>
        <w:t xml:space="preserve"> </w:t>
      </w:r>
      <w:r w:rsidR="00F93FB9">
        <w:rPr>
          <w:rFonts w:cstheme="minorHAnsi"/>
          <w:sz w:val="24"/>
          <w:szCs w:val="24"/>
        </w:rPr>
        <w:t xml:space="preserve">important </w:t>
      </w:r>
      <w:r w:rsidR="00215604" w:rsidRPr="00CA4DA0">
        <w:rPr>
          <w:rFonts w:cstheme="minorHAnsi"/>
          <w:sz w:val="24"/>
          <w:szCs w:val="24"/>
        </w:rPr>
        <w:t xml:space="preserve">role </w:t>
      </w:r>
      <w:r w:rsidR="00357F2B" w:rsidRPr="00CA4DA0">
        <w:rPr>
          <w:rFonts w:cstheme="minorHAnsi"/>
          <w:sz w:val="24"/>
          <w:szCs w:val="24"/>
        </w:rPr>
        <w:t>to</w:t>
      </w:r>
      <w:r w:rsidR="00215604" w:rsidRPr="00CA4DA0">
        <w:rPr>
          <w:rFonts w:cstheme="minorHAnsi"/>
          <w:sz w:val="24"/>
          <w:szCs w:val="24"/>
        </w:rPr>
        <w:t xml:space="preserve"> play to overcome such dynamics.</w:t>
      </w:r>
    </w:p>
    <w:p w14:paraId="1D172648" w14:textId="77777777" w:rsidR="000E07CC" w:rsidRPr="00CA4DA0" w:rsidRDefault="000E07CC" w:rsidP="000E07CC">
      <w:pPr>
        <w:rPr>
          <w:rFonts w:cstheme="minorHAnsi"/>
          <w:sz w:val="24"/>
          <w:szCs w:val="24"/>
        </w:rPr>
      </w:pPr>
    </w:p>
    <w:p w14:paraId="1C245E97" w14:textId="4DB5AD89" w:rsidR="000E07CC" w:rsidRPr="00CA4DA0" w:rsidRDefault="00A307E2" w:rsidP="000E07CC">
      <w:pPr>
        <w:rPr>
          <w:rFonts w:cstheme="minorHAnsi"/>
          <w:b/>
          <w:sz w:val="24"/>
          <w:szCs w:val="24"/>
        </w:rPr>
      </w:pPr>
      <w:r w:rsidRPr="00CA4DA0">
        <w:rPr>
          <w:rFonts w:cstheme="minorHAnsi"/>
          <w:b/>
          <w:sz w:val="24"/>
          <w:szCs w:val="24"/>
        </w:rPr>
        <w:t xml:space="preserve">Interest </w:t>
      </w:r>
      <w:r w:rsidR="00CD2FB4" w:rsidRPr="00CA4DA0">
        <w:rPr>
          <w:rFonts w:cstheme="minorHAnsi"/>
          <w:b/>
          <w:sz w:val="24"/>
          <w:szCs w:val="24"/>
        </w:rPr>
        <w:t>R</w:t>
      </w:r>
      <w:r w:rsidRPr="00CA4DA0">
        <w:rPr>
          <w:rFonts w:cstheme="minorHAnsi"/>
          <w:b/>
          <w:sz w:val="24"/>
          <w:szCs w:val="24"/>
        </w:rPr>
        <w:t>ate</w:t>
      </w:r>
      <w:r w:rsidR="00CD2FB4" w:rsidRPr="00CA4DA0">
        <w:rPr>
          <w:rFonts w:cstheme="minorHAnsi"/>
          <w:b/>
          <w:sz w:val="24"/>
          <w:szCs w:val="24"/>
        </w:rPr>
        <w:t>s</w:t>
      </w:r>
      <w:r w:rsidRPr="00CA4DA0">
        <w:rPr>
          <w:rFonts w:cstheme="minorHAnsi"/>
          <w:b/>
          <w:sz w:val="24"/>
          <w:szCs w:val="24"/>
        </w:rPr>
        <w:t xml:space="preserve"> </w:t>
      </w:r>
      <w:r w:rsidR="00B26CA9" w:rsidRPr="00CA4DA0">
        <w:rPr>
          <w:rFonts w:cstheme="minorHAnsi"/>
          <w:b/>
          <w:sz w:val="24"/>
          <w:szCs w:val="24"/>
        </w:rPr>
        <w:t>over</w:t>
      </w:r>
      <w:r w:rsidRPr="00CA4DA0">
        <w:rPr>
          <w:rFonts w:cstheme="minorHAnsi"/>
          <w:b/>
          <w:sz w:val="24"/>
          <w:szCs w:val="24"/>
        </w:rPr>
        <w:t xml:space="preserve"> </w:t>
      </w:r>
      <w:r w:rsidR="006B582E">
        <w:rPr>
          <w:rFonts w:cstheme="minorHAnsi"/>
          <w:b/>
          <w:sz w:val="24"/>
          <w:szCs w:val="24"/>
        </w:rPr>
        <w:t xml:space="preserve">the </w:t>
      </w:r>
      <w:r w:rsidR="00CD2FB4" w:rsidRPr="00CA4DA0">
        <w:rPr>
          <w:rFonts w:cstheme="minorHAnsi"/>
          <w:b/>
          <w:sz w:val="24"/>
          <w:szCs w:val="24"/>
        </w:rPr>
        <w:t>P</w:t>
      </w:r>
      <w:r w:rsidRPr="00CA4DA0">
        <w:rPr>
          <w:rFonts w:cstheme="minorHAnsi"/>
          <w:b/>
          <w:sz w:val="24"/>
          <w:szCs w:val="24"/>
        </w:rPr>
        <w:t xml:space="preserve">ast </w:t>
      </w:r>
      <w:r w:rsidR="00CD2FB4" w:rsidRPr="00CA4DA0">
        <w:rPr>
          <w:rFonts w:cstheme="minorHAnsi"/>
          <w:b/>
          <w:sz w:val="24"/>
          <w:szCs w:val="24"/>
        </w:rPr>
        <w:t>C</w:t>
      </w:r>
      <w:r w:rsidRPr="00CA4DA0">
        <w:rPr>
          <w:rFonts w:cstheme="minorHAnsi"/>
          <w:b/>
          <w:sz w:val="24"/>
          <w:szCs w:val="24"/>
        </w:rPr>
        <w:t>entury</w:t>
      </w:r>
    </w:p>
    <w:p w14:paraId="3A4D96CE" w14:textId="406C4AD0" w:rsidR="00D071EC" w:rsidRPr="00CA4DA0" w:rsidRDefault="00D071EC" w:rsidP="00DE02D2">
      <w:pPr>
        <w:ind w:firstLine="720"/>
        <w:rPr>
          <w:rFonts w:cstheme="minorHAnsi"/>
          <w:sz w:val="24"/>
          <w:szCs w:val="24"/>
        </w:rPr>
      </w:pPr>
      <w:r w:rsidRPr="00CA4DA0">
        <w:rPr>
          <w:rFonts w:cstheme="minorHAnsi"/>
          <w:sz w:val="24"/>
          <w:szCs w:val="24"/>
        </w:rPr>
        <w:t xml:space="preserve">Before </w:t>
      </w:r>
      <w:r w:rsidR="00044E3A" w:rsidRPr="00CA4DA0">
        <w:rPr>
          <w:rFonts w:cstheme="minorHAnsi"/>
          <w:sz w:val="24"/>
          <w:szCs w:val="24"/>
        </w:rPr>
        <w:t xml:space="preserve">making </w:t>
      </w:r>
      <w:r w:rsidR="007B57FA" w:rsidRPr="00CA4DA0">
        <w:rPr>
          <w:rFonts w:cstheme="minorHAnsi"/>
          <w:sz w:val="24"/>
          <w:szCs w:val="24"/>
        </w:rPr>
        <w:t xml:space="preserve">any </w:t>
      </w:r>
      <w:r w:rsidR="00044E3A" w:rsidRPr="00CA4DA0">
        <w:rPr>
          <w:rFonts w:cstheme="minorHAnsi"/>
          <w:sz w:val="24"/>
          <w:szCs w:val="24"/>
        </w:rPr>
        <w:t>prediction about</w:t>
      </w:r>
      <w:r w:rsidR="00974CBC" w:rsidRPr="00CA4DA0">
        <w:rPr>
          <w:rFonts w:cstheme="minorHAnsi"/>
          <w:sz w:val="24"/>
          <w:szCs w:val="24"/>
        </w:rPr>
        <w:t xml:space="preserve"> the future, it is instructive to study</w:t>
      </w:r>
      <w:r w:rsidRPr="00CA4DA0">
        <w:rPr>
          <w:rFonts w:cstheme="minorHAnsi"/>
          <w:sz w:val="24"/>
          <w:szCs w:val="24"/>
        </w:rPr>
        <w:t xml:space="preserve"> what the past century tells </w:t>
      </w:r>
      <w:r w:rsidR="006B1A96">
        <w:rPr>
          <w:rFonts w:cstheme="minorHAnsi"/>
          <w:sz w:val="24"/>
          <w:szCs w:val="24"/>
        </w:rPr>
        <w:t xml:space="preserve">us </w:t>
      </w:r>
      <w:r w:rsidRPr="00CA4DA0">
        <w:rPr>
          <w:rFonts w:cstheme="minorHAnsi"/>
          <w:sz w:val="24"/>
          <w:szCs w:val="24"/>
        </w:rPr>
        <w:t>about the dynamics of interest rate</w:t>
      </w:r>
      <w:r w:rsidR="00512B9B" w:rsidRPr="00CA4DA0">
        <w:rPr>
          <w:rFonts w:cstheme="minorHAnsi"/>
          <w:sz w:val="24"/>
          <w:szCs w:val="24"/>
        </w:rPr>
        <w:t>s</w:t>
      </w:r>
      <w:r w:rsidR="00A307E2" w:rsidRPr="00CA4DA0">
        <w:rPr>
          <w:rFonts w:cstheme="minorHAnsi"/>
          <w:sz w:val="24"/>
          <w:szCs w:val="24"/>
        </w:rPr>
        <w:t xml:space="preserve">. Several things </w:t>
      </w:r>
      <w:r w:rsidR="001851D0" w:rsidRPr="00CA4DA0">
        <w:rPr>
          <w:rFonts w:cstheme="minorHAnsi"/>
          <w:sz w:val="24"/>
          <w:szCs w:val="24"/>
        </w:rPr>
        <w:t>are worth noticing</w:t>
      </w:r>
      <w:r w:rsidR="00A307E2" w:rsidRPr="00CA4DA0">
        <w:rPr>
          <w:rFonts w:cstheme="minorHAnsi"/>
          <w:sz w:val="24"/>
          <w:szCs w:val="24"/>
        </w:rPr>
        <w:t xml:space="preserve"> from </w:t>
      </w:r>
      <w:r w:rsidR="00044E3A" w:rsidRPr="00CA4DA0">
        <w:rPr>
          <w:rFonts w:cstheme="minorHAnsi"/>
          <w:sz w:val="24"/>
          <w:szCs w:val="24"/>
        </w:rPr>
        <w:t>Figure 1</w:t>
      </w:r>
      <w:r w:rsidR="00A307E2" w:rsidRPr="00CA4DA0">
        <w:rPr>
          <w:rFonts w:cstheme="minorHAnsi"/>
          <w:sz w:val="24"/>
          <w:szCs w:val="24"/>
        </w:rPr>
        <w:t xml:space="preserve">. First, the downward trend in interest </w:t>
      </w:r>
      <w:r w:rsidR="00FA4E25" w:rsidRPr="00CA4DA0">
        <w:rPr>
          <w:rFonts w:cstheme="minorHAnsi"/>
          <w:sz w:val="24"/>
          <w:szCs w:val="24"/>
        </w:rPr>
        <w:t xml:space="preserve">rates is not new. Over the past 40 years, the average </w:t>
      </w:r>
      <w:r w:rsidR="000B3DDD" w:rsidRPr="00CA4DA0">
        <w:rPr>
          <w:rFonts w:cstheme="minorHAnsi"/>
          <w:sz w:val="24"/>
          <w:szCs w:val="24"/>
        </w:rPr>
        <w:t xml:space="preserve">rate on </w:t>
      </w:r>
      <w:r w:rsidR="00FA4E25" w:rsidRPr="00CA4DA0">
        <w:rPr>
          <w:rFonts w:cstheme="minorHAnsi"/>
          <w:sz w:val="24"/>
          <w:szCs w:val="24"/>
        </w:rPr>
        <w:t xml:space="preserve">long-term </w:t>
      </w:r>
      <w:r w:rsidR="00974CBC" w:rsidRPr="00CA4DA0">
        <w:rPr>
          <w:rFonts w:cstheme="minorHAnsi"/>
          <w:sz w:val="24"/>
          <w:szCs w:val="24"/>
        </w:rPr>
        <w:t>safe</w:t>
      </w:r>
      <w:r w:rsidR="000B3DDD" w:rsidRPr="00CA4DA0">
        <w:rPr>
          <w:rFonts w:cstheme="minorHAnsi"/>
          <w:sz w:val="24"/>
          <w:szCs w:val="24"/>
        </w:rPr>
        <w:t xml:space="preserve"> debt</w:t>
      </w:r>
      <w:r w:rsidR="00044E3A" w:rsidRPr="00CA4DA0">
        <w:rPr>
          <w:rFonts w:cstheme="minorHAnsi"/>
          <w:sz w:val="24"/>
          <w:szCs w:val="24"/>
        </w:rPr>
        <w:t>s</w:t>
      </w:r>
      <w:r w:rsidR="000B3DDD" w:rsidRPr="00CA4DA0">
        <w:rPr>
          <w:rFonts w:cstheme="minorHAnsi"/>
          <w:sz w:val="24"/>
          <w:szCs w:val="24"/>
        </w:rPr>
        <w:t xml:space="preserve"> </w:t>
      </w:r>
      <w:r w:rsidR="00B97FA0" w:rsidRPr="00CA4DA0">
        <w:rPr>
          <w:rFonts w:cstheme="minorHAnsi"/>
          <w:sz w:val="24"/>
          <w:szCs w:val="24"/>
        </w:rPr>
        <w:t xml:space="preserve">has </w:t>
      </w:r>
      <w:r w:rsidR="00FA4E25" w:rsidRPr="00CA4DA0">
        <w:rPr>
          <w:rFonts w:cstheme="minorHAnsi"/>
          <w:sz w:val="24"/>
          <w:szCs w:val="24"/>
        </w:rPr>
        <w:t>come</w:t>
      </w:r>
      <w:r w:rsidR="000B3DDD" w:rsidRPr="00CA4DA0">
        <w:rPr>
          <w:rFonts w:cstheme="minorHAnsi"/>
          <w:sz w:val="24"/>
          <w:szCs w:val="24"/>
        </w:rPr>
        <w:t xml:space="preserve"> down from 15</w:t>
      </w:r>
      <w:r w:rsidR="00CD2FB4" w:rsidRPr="00CA4DA0">
        <w:rPr>
          <w:rFonts w:cstheme="minorHAnsi"/>
          <w:sz w:val="24"/>
          <w:szCs w:val="24"/>
        </w:rPr>
        <w:t>%</w:t>
      </w:r>
      <w:r w:rsidR="007A3C6B" w:rsidRPr="00CA4DA0">
        <w:rPr>
          <w:rFonts w:cstheme="minorHAnsi"/>
          <w:sz w:val="24"/>
          <w:szCs w:val="24"/>
        </w:rPr>
        <w:t xml:space="preserve"> </w:t>
      </w:r>
      <w:r w:rsidR="000B3DDD" w:rsidRPr="00CA4DA0">
        <w:rPr>
          <w:rFonts w:cstheme="minorHAnsi"/>
          <w:sz w:val="24"/>
          <w:szCs w:val="24"/>
        </w:rPr>
        <w:t>in 1981 to less than 2</w:t>
      </w:r>
      <w:r w:rsidR="00CD2FB4" w:rsidRPr="00CA4DA0">
        <w:rPr>
          <w:rFonts w:cstheme="minorHAnsi"/>
          <w:sz w:val="24"/>
          <w:szCs w:val="24"/>
        </w:rPr>
        <w:t>%</w:t>
      </w:r>
      <w:r w:rsidR="007A3C6B" w:rsidRPr="00CA4DA0">
        <w:rPr>
          <w:rFonts w:cstheme="minorHAnsi"/>
          <w:sz w:val="24"/>
          <w:szCs w:val="24"/>
        </w:rPr>
        <w:t xml:space="preserve"> </w:t>
      </w:r>
      <w:r w:rsidR="000B3DDD" w:rsidRPr="00CA4DA0">
        <w:rPr>
          <w:rFonts w:cstheme="minorHAnsi"/>
          <w:sz w:val="24"/>
          <w:szCs w:val="24"/>
        </w:rPr>
        <w:t>in 2</w:t>
      </w:r>
      <w:r w:rsidR="00FA4E25" w:rsidRPr="00CA4DA0">
        <w:rPr>
          <w:rFonts w:cstheme="minorHAnsi"/>
          <w:sz w:val="24"/>
          <w:szCs w:val="24"/>
        </w:rPr>
        <w:t xml:space="preserve">020. Second, interest rates on long-term </w:t>
      </w:r>
      <w:r w:rsidR="00044E3A" w:rsidRPr="00CA4DA0">
        <w:rPr>
          <w:rFonts w:cstheme="minorHAnsi"/>
          <w:sz w:val="24"/>
          <w:szCs w:val="24"/>
        </w:rPr>
        <w:t xml:space="preserve">safe </w:t>
      </w:r>
      <w:r w:rsidR="00FA4E25" w:rsidRPr="00CA4DA0">
        <w:rPr>
          <w:rFonts w:cstheme="minorHAnsi"/>
          <w:sz w:val="24"/>
          <w:szCs w:val="24"/>
        </w:rPr>
        <w:t>debt</w:t>
      </w:r>
      <w:r w:rsidR="00044E3A" w:rsidRPr="00CA4DA0">
        <w:rPr>
          <w:rFonts w:cstheme="minorHAnsi"/>
          <w:sz w:val="24"/>
          <w:szCs w:val="24"/>
        </w:rPr>
        <w:t>s</w:t>
      </w:r>
      <w:r w:rsidR="00FA4E25" w:rsidRPr="00CA4DA0">
        <w:rPr>
          <w:rFonts w:cstheme="minorHAnsi"/>
          <w:sz w:val="24"/>
          <w:szCs w:val="24"/>
        </w:rPr>
        <w:t xml:space="preserve"> are exceptionally low </w:t>
      </w:r>
      <w:r w:rsidR="005D6266" w:rsidRPr="00CA4DA0">
        <w:rPr>
          <w:rFonts w:cstheme="minorHAnsi"/>
          <w:sz w:val="24"/>
          <w:szCs w:val="24"/>
        </w:rPr>
        <w:t>today; e</w:t>
      </w:r>
      <w:r w:rsidR="00D97055" w:rsidRPr="00CA4DA0">
        <w:rPr>
          <w:rFonts w:cstheme="minorHAnsi"/>
          <w:sz w:val="24"/>
          <w:szCs w:val="24"/>
        </w:rPr>
        <w:t xml:space="preserve">ven during World War </w:t>
      </w:r>
      <w:r w:rsidR="00612D5A">
        <w:rPr>
          <w:rFonts w:cstheme="minorHAnsi"/>
          <w:sz w:val="24"/>
          <w:szCs w:val="24"/>
        </w:rPr>
        <w:t>Two</w:t>
      </w:r>
      <w:r w:rsidR="00044E3A" w:rsidRPr="00CA4DA0">
        <w:rPr>
          <w:rFonts w:cstheme="minorHAnsi"/>
          <w:sz w:val="24"/>
          <w:szCs w:val="24"/>
        </w:rPr>
        <w:t xml:space="preserve">, </w:t>
      </w:r>
      <w:r w:rsidR="007A3C6B" w:rsidRPr="00CA4DA0">
        <w:rPr>
          <w:rFonts w:cstheme="minorHAnsi"/>
          <w:sz w:val="24"/>
          <w:szCs w:val="24"/>
        </w:rPr>
        <w:t>such</w:t>
      </w:r>
      <w:r w:rsidR="00044E3A" w:rsidRPr="00CA4DA0">
        <w:rPr>
          <w:rFonts w:cstheme="minorHAnsi"/>
          <w:sz w:val="24"/>
          <w:szCs w:val="24"/>
        </w:rPr>
        <w:t xml:space="preserve"> </w:t>
      </w:r>
      <w:r w:rsidR="00D97055" w:rsidRPr="00CA4DA0">
        <w:rPr>
          <w:rFonts w:cstheme="minorHAnsi"/>
          <w:sz w:val="24"/>
          <w:szCs w:val="24"/>
        </w:rPr>
        <w:t>interest rate</w:t>
      </w:r>
      <w:r w:rsidR="007A3C6B" w:rsidRPr="00CA4DA0">
        <w:rPr>
          <w:rFonts w:cstheme="minorHAnsi"/>
          <w:sz w:val="24"/>
          <w:szCs w:val="24"/>
        </w:rPr>
        <w:t>s</w:t>
      </w:r>
      <w:r w:rsidR="00D97055" w:rsidRPr="00CA4DA0">
        <w:rPr>
          <w:rFonts w:cstheme="minorHAnsi"/>
          <w:sz w:val="24"/>
          <w:szCs w:val="24"/>
        </w:rPr>
        <w:t xml:space="preserve"> did not go below 2</w:t>
      </w:r>
      <w:r w:rsidR="00CD2FB4" w:rsidRPr="00CA4DA0">
        <w:rPr>
          <w:rFonts w:cstheme="minorHAnsi"/>
          <w:sz w:val="24"/>
          <w:szCs w:val="24"/>
        </w:rPr>
        <w:t>%</w:t>
      </w:r>
      <w:r w:rsidR="00D97055" w:rsidRPr="00CA4DA0">
        <w:rPr>
          <w:rFonts w:cstheme="minorHAnsi"/>
          <w:sz w:val="24"/>
          <w:szCs w:val="24"/>
        </w:rPr>
        <w:t xml:space="preserve"> </w:t>
      </w:r>
      <w:r w:rsidR="007A3C6B" w:rsidRPr="00CA4DA0">
        <w:rPr>
          <w:rFonts w:cstheme="minorHAnsi"/>
          <w:sz w:val="24"/>
          <w:szCs w:val="24"/>
        </w:rPr>
        <w:t>on average</w:t>
      </w:r>
      <w:r w:rsidR="00D97055" w:rsidRPr="00CA4DA0">
        <w:rPr>
          <w:rFonts w:cstheme="minorHAnsi"/>
          <w:sz w:val="24"/>
          <w:szCs w:val="24"/>
        </w:rPr>
        <w:t>.</w:t>
      </w:r>
      <w:r w:rsidR="00FA4E25" w:rsidRPr="00CA4DA0">
        <w:rPr>
          <w:rFonts w:cstheme="minorHAnsi"/>
          <w:sz w:val="24"/>
          <w:szCs w:val="24"/>
        </w:rPr>
        <w:t xml:space="preserve"> </w:t>
      </w:r>
      <w:r w:rsidR="00044E3A" w:rsidRPr="00CA4DA0">
        <w:rPr>
          <w:rFonts w:cstheme="minorHAnsi"/>
          <w:sz w:val="24"/>
          <w:szCs w:val="24"/>
        </w:rPr>
        <w:t>T</w:t>
      </w:r>
      <w:r w:rsidR="00D97055" w:rsidRPr="00CA4DA0">
        <w:rPr>
          <w:rFonts w:cstheme="minorHAnsi"/>
          <w:sz w:val="24"/>
          <w:szCs w:val="24"/>
        </w:rPr>
        <w:t>he last, and most important, observation</w:t>
      </w:r>
      <w:r w:rsidR="00044E3A" w:rsidRPr="00CA4DA0">
        <w:rPr>
          <w:rFonts w:cstheme="minorHAnsi"/>
          <w:sz w:val="24"/>
          <w:szCs w:val="24"/>
        </w:rPr>
        <w:t xml:space="preserve"> is that a</w:t>
      </w:r>
      <w:r w:rsidR="00D97055" w:rsidRPr="00CA4DA0">
        <w:rPr>
          <w:rFonts w:cstheme="minorHAnsi"/>
          <w:sz w:val="24"/>
          <w:szCs w:val="24"/>
        </w:rPr>
        <w:t xml:space="preserve"> key driver </w:t>
      </w:r>
      <w:r w:rsidR="00044E3A" w:rsidRPr="00CA4DA0">
        <w:rPr>
          <w:rFonts w:cstheme="minorHAnsi"/>
          <w:sz w:val="24"/>
          <w:szCs w:val="24"/>
        </w:rPr>
        <w:t>of</w:t>
      </w:r>
      <w:r w:rsidR="00D97055" w:rsidRPr="00CA4DA0">
        <w:rPr>
          <w:rFonts w:cstheme="minorHAnsi"/>
          <w:sz w:val="24"/>
          <w:szCs w:val="24"/>
        </w:rPr>
        <w:t xml:space="preserve"> inter</w:t>
      </w:r>
      <w:r w:rsidR="000D519E" w:rsidRPr="00CA4DA0">
        <w:rPr>
          <w:rFonts w:cstheme="minorHAnsi"/>
          <w:sz w:val="24"/>
          <w:szCs w:val="24"/>
        </w:rPr>
        <w:t>est rates in the United States</w:t>
      </w:r>
      <w:r w:rsidR="00D97055" w:rsidRPr="00CA4DA0">
        <w:rPr>
          <w:rFonts w:cstheme="minorHAnsi"/>
          <w:sz w:val="24"/>
          <w:szCs w:val="24"/>
        </w:rPr>
        <w:t xml:space="preserve"> is monetary policy</w:t>
      </w:r>
      <w:r w:rsidR="00044E3A" w:rsidRPr="00CA4DA0">
        <w:rPr>
          <w:rFonts w:cstheme="minorHAnsi"/>
          <w:sz w:val="24"/>
          <w:szCs w:val="24"/>
        </w:rPr>
        <w:t xml:space="preserve">. This </w:t>
      </w:r>
      <w:r w:rsidR="005D6266" w:rsidRPr="00CA4DA0">
        <w:rPr>
          <w:rFonts w:cstheme="minorHAnsi"/>
          <w:sz w:val="24"/>
          <w:szCs w:val="24"/>
        </w:rPr>
        <w:t xml:space="preserve">is </w:t>
      </w:r>
      <w:r w:rsidR="00044E3A" w:rsidRPr="00CA4DA0">
        <w:rPr>
          <w:rFonts w:cstheme="minorHAnsi"/>
          <w:sz w:val="24"/>
          <w:szCs w:val="24"/>
        </w:rPr>
        <w:t>actuall</w:t>
      </w:r>
      <w:r w:rsidR="005D6266" w:rsidRPr="00CA4DA0">
        <w:rPr>
          <w:rFonts w:cstheme="minorHAnsi"/>
          <w:sz w:val="24"/>
          <w:szCs w:val="24"/>
        </w:rPr>
        <w:t>y the case in any country where the</w:t>
      </w:r>
      <w:r w:rsidR="00044E3A" w:rsidRPr="00CA4DA0">
        <w:rPr>
          <w:rFonts w:cstheme="minorHAnsi"/>
          <w:sz w:val="24"/>
          <w:szCs w:val="24"/>
        </w:rPr>
        <w:t xml:space="preserve"> government issues its own currency and issues </w:t>
      </w:r>
      <w:r w:rsidR="00612D5A">
        <w:rPr>
          <w:rFonts w:cstheme="minorHAnsi"/>
          <w:sz w:val="24"/>
          <w:szCs w:val="24"/>
        </w:rPr>
        <w:t>securities</w:t>
      </w:r>
      <w:r w:rsidR="00044E3A" w:rsidRPr="00CA4DA0">
        <w:rPr>
          <w:rFonts w:cstheme="minorHAnsi"/>
          <w:sz w:val="24"/>
          <w:szCs w:val="24"/>
        </w:rPr>
        <w:t xml:space="preserve"> </w:t>
      </w:r>
      <w:r w:rsidR="001851D0" w:rsidRPr="00CA4DA0">
        <w:rPr>
          <w:rFonts w:cstheme="minorHAnsi"/>
          <w:sz w:val="24"/>
          <w:szCs w:val="24"/>
        </w:rPr>
        <w:t xml:space="preserve">denominated </w:t>
      </w:r>
      <w:r w:rsidR="00044E3A" w:rsidRPr="00CA4DA0">
        <w:rPr>
          <w:rFonts w:cstheme="minorHAnsi"/>
          <w:sz w:val="24"/>
          <w:szCs w:val="24"/>
        </w:rPr>
        <w:t>in its own currency</w:t>
      </w:r>
      <w:r w:rsidR="00BF3DA0" w:rsidRPr="00CA4DA0">
        <w:rPr>
          <w:rFonts w:cstheme="minorHAnsi"/>
          <w:sz w:val="24"/>
          <w:szCs w:val="24"/>
        </w:rPr>
        <w:t xml:space="preserve"> (Akram and Li 2017</w:t>
      </w:r>
      <w:r w:rsidR="00CA4DA0">
        <w:rPr>
          <w:rFonts w:cstheme="minorHAnsi"/>
          <w:sz w:val="24"/>
          <w:szCs w:val="24"/>
        </w:rPr>
        <w:t>,</w:t>
      </w:r>
      <w:r w:rsidR="00BF3DA0" w:rsidRPr="00CA4DA0">
        <w:rPr>
          <w:rFonts w:cstheme="minorHAnsi"/>
          <w:sz w:val="24"/>
          <w:szCs w:val="24"/>
        </w:rPr>
        <w:t xml:space="preserve"> Borio et al. 2</w:t>
      </w:r>
      <w:r w:rsidR="00CA4DA0">
        <w:rPr>
          <w:rFonts w:cstheme="minorHAnsi"/>
          <w:sz w:val="24"/>
          <w:szCs w:val="24"/>
        </w:rPr>
        <w:t>017,</w:t>
      </w:r>
      <w:r w:rsidR="007F4764" w:rsidRPr="00CA4DA0">
        <w:rPr>
          <w:rFonts w:cstheme="minorHAnsi"/>
          <w:sz w:val="24"/>
          <w:szCs w:val="24"/>
        </w:rPr>
        <w:t xml:space="preserve"> </w:t>
      </w:r>
      <w:r w:rsidR="00BF3DA0" w:rsidRPr="00CA4DA0">
        <w:rPr>
          <w:rFonts w:cstheme="minorHAnsi"/>
          <w:sz w:val="24"/>
          <w:szCs w:val="24"/>
        </w:rPr>
        <w:t>Biefang-Frisancho Mariscal</w:t>
      </w:r>
      <w:r w:rsidR="00CA4DA0">
        <w:rPr>
          <w:rFonts w:cstheme="minorHAnsi"/>
          <w:sz w:val="24"/>
          <w:szCs w:val="24"/>
        </w:rPr>
        <w:t xml:space="preserve"> and Howells 2002,</w:t>
      </w:r>
      <w:r w:rsidR="00BF3DA0" w:rsidRPr="00CA4DA0">
        <w:rPr>
          <w:rFonts w:cstheme="minorHAnsi"/>
          <w:sz w:val="24"/>
          <w:szCs w:val="24"/>
        </w:rPr>
        <w:t xml:space="preserve"> Cook and Hahn 1989</w:t>
      </w:r>
      <w:r w:rsidR="00CA4DA0">
        <w:rPr>
          <w:rFonts w:cstheme="minorHAnsi"/>
          <w:sz w:val="24"/>
          <w:szCs w:val="24"/>
        </w:rPr>
        <w:t>, Atesoglu 2003, 2005,</w:t>
      </w:r>
      <w:r w:rsidR="00BF3DA0" w:rsidRPr="00CA4DA0">
        <w:rPr>
          <w:rFonts w:cstheme="minorHAnsi"/>
          <w:sz w:val="24"/>
          <w:szCs w:val="24"/>
        </w:rPr>
        <w:t xml:space="preserve"> Roley and Sellon 1995)</w:t>
      </w:r>
      <w:r w:rsidR="00CA4DA0">
        <w:rPr>
          <w:rFonts w:cstheme="minorHAnsi"/>
          <w:sz w:val="24"/>
          <w:szCs w:val="24"/>
        </w:rPr>
        <w:t>.</w:t>
      </w:r>
      <w:r w:rsidR="00BF3DA0" w:rsidRPr="00CA4DA0">
        <w:rPr>
          <w:rFonts w:cstheme="minorHAnsi"/>
          <w:sz w:val="24"/>
          <w:szCs w:val="24"/>
        </w:rPr>
        <w:t xml:space="preserve"> </w:t>
      </w:r>
      <w:r w:rsidR="00EC3C48">
        <w:rPr>
          <w:rFonts w:cstheme="minorHAnsi"/>
          <w:sz w:val="24"/>
          <w:szCs w:val="24"/>
        </w:rPr>
        <w:t>While operating procedures have changed overtime, m</w:t>
      </w:r>
      <w:r w:rsidR="00D97055" w:rsidRPr="00CA4DA0">
        <w:rPr>
          <w:rFonts w:cstheme="minorHAnsi"/>
          <w:sz w:val="24"/>
          <w:szCs w:val="24"/>
        </w:rPr>
        <w:t xml:space="preserve">onetary policy consists </w:t>
      </w:r>
      <w:r w:rsidR="006B582E">
        <w:rPr>
          <w:rFonts w:cstheme="minorHAnsi"/>
          <w:sz w:val="24"/>
          <w:szCs w:val="24"/>
        </w:rPr>
        <w:t>providing an elastic currency, which in practice means managing</w:t>
      </w:r>
      <w:r w:rsidR="00D97055" w:rsidRPr="00CA4DA0">
        <w:rPr>
          <w:rFonts w:cstheme="minorHAnsi"/>
          <w:sz w:val="24"/>
          <w:szCs w:val="24"/>
        </w:rPr>
        <w:t xml:space="preserve"> </w:t>
      </w:r>
      <w:r w:rsidR="005D6266" w:rsidRPr="00CA4DA0">
        <w:rPr>
          <w:rFonts w:cstheme="minorHAnsi"/>
          <w:sz w:val="24"/>
          <w:szCs w:val="24"/>
        </w:rPr>
        <w:t xml:space="preserve">at least </w:t>
      </w:r>
      <w:r w:rsidR="00EC3C48">
        <w:rPr>
          <w:rFonts w:cstheme="minorHAnsi"/>
          <w:sz w:val="24"/>
          <w:szCs w:val="24"/>
        </w:rPr>
        <w:t xml:space="preserve">one interest rate—currently </w:t>
      </w:r>
      <w:r w:rsidR="00D97055" w:rsidRPr="00CA4DA0">
        <w:rPr>
          <w:rFonts w:cstheme="minorHAnsi"/>
          <w:sz w:val="24"/>
          <w:szCs w:val="24"/>
        </w:rPr>
        <w:t xml:space="preserve">the federal funds rate (FFR) in the United States. One has to go back to the Great Depression to find </w:t>
      </w:r>
      <w:r w:rsidR="005D6266" w:rsidRPr="00CA4DA0">
        <w:rPr>
          <w:rFonts w:cstheme="minorHAnsi"/>
          <w:sz w:val="24"/>
          <w:szCs w:val="24"/>
        </w:rPr>
        <w:t xml:space="preserve">a </w:t>
      </w:r>
      <w:r w:rsidR="00D97055" w:rsidRPr="00CA4DA0">
        <w:rPr>
          <w:rFonts w:cstheme="minorHAnsi"/>
          <w:sz w:val="24"/>
          <w:szCs w:val="24"/>
        </w:rPr>
        <w:t>near-zero FFR</w:t>
      </w:r>
      <w:r w:rsidR="00FA4E25" w:rsidRPr="00CA4DA0">
        <w:rPr>
          <w:rFonts w:cstheme="minorHAnsi"/>
          <w:sz w:val="24"/>
          <w:szCs w:val="24"/>
        </w:rPr>
        <w:t xml:space="preserve">. </w:t>
      </w:r>
      <w:r w:rsidR="00A82D9D" w:rsidRPr="00CA4DA0">
        <w:rPr>
          <w:rFonts w:cstheme="minorHAnsi"/>
          <w:sz w:val="24"/>
          <w:szCs w:val="24"/>
        </w:rPr>
        <w:t xml:space="preserve">World </w:t>
      </w:r>
      <w:r w:rsidR="005D6266" w:rsidRPr="00CA4DA0">
        <w:rPr>
          <w:rFonts w:cstheme="minorHAnsi"/>
          <w:sz w:val="24"/>
          <w:szCs w:val="24"/>
        </w:rPr>
        <w:t>War</w:t>
      </w:r>
      <w:r w:rsidR="00A82D9D" w:rsidRPr="00CA4DA0">
        <w:rPr>
          <w:rFonts w:cstheme="minorHAnsi"/>
          <w:sz w:val="24"/>
          <w:szCs w:val="24"/>
        </w:rPr>
        <w:t xml:space="preserve"> </w:t>
      </w:r>
      <w:r w:rsidR="00B26CA9">
        <w:rPr>
          <w:rFonts w:cstheme="minorHAnsi"/>
          <w:sz w:val="24"/>
          <w:szCs w:val="24"/>
        </w:rPr>
        <w:t>Two</w:t>
      </w:r>
      <w:r w:rsidR="00A82D9D" w:rsidRPr="00CA4DA0">
        <w:rPr>
          <w:rFonts w:cstheme="minorHAnsi"/>
          <w:sz w:val="24"/>
          <w:szCs w:val="24"/>
        </w:rPr>
        <w:t xml:space="preserve"> led the </w:t>
      </w:r>
      <w:r w:rsidR="00E51AA1" w:rsidRPr="00CA4DA0">
        <w:rPr>
          <w:rFonts w:cstheme="minorHAnsi"/>
          <w:sz w:val="24"/>
          <w:szCs w:val="24"/>
        </w:rPr>
        <w:t>F</w:t>
      </w:r>
      <w:r w:rsidR="007A3C6B" w:rsidRPr="00CA4DA0">
        <w:rPr>
          <w:rFonts w:cstheme="minorHAnsi"/>
          <w:sz w:val="24"/>
          <w:szCs w:val="24"/>
        </w:rPr>
        <w:t>ed to expa</w:t>
      </w:r>
      <w:r w:rsidR="00A82D9D" w:rsidRPr="00CA4DA0">
        <w:rPr>
          <w:rFonts w:cstheme="minorHAnsi"/>
          <w:sz w:val="24"/>
          <w:szCs w:val="24"/>
        </w:rPr>
        <w:t>nd its interest</w:t>
      </w:r>
      <w:r w:rsidR="00F93FB9">
        <w:rPr>
          <w:rFonts w:cstheme="minorHAnsi"/>
          <w:sz w:val="24"/>
          <w:szCs w:val="24"/>
        </w:rPr>
        <w:t>-</w:t>
      </w:r>
      <w:r w:rsidR="00A82D9D" w:rsidRPr="00CA4DA0">
        <w:rPr>
          <w:rFonts w:cstheme="minorHAnsi"/>
          <w:sz w:val="24"/>
          <w:szCs w:val="24"/>
        </w:rPr>
        <w:t xml:space="preserve">rate targeting to the entire yield curve with </w:t>
      </w:r>
      <w:r w:rsidR="001851D0" w:rsidRPr="00CA4DA0">
        <w:rPr>
          <w:rFonts w:cstheme="minorHAnsi"/>
          <w:sz w:val="24"/>
          <w:szCs w:val="24"/>
        </w:rPr>
        <w:t xml:space="preserve">the rate on </w:t>
      </w:r>
      <w:r w:rsidR="00E51AA1" w:rsidRPr="00CA4DA0">
        <w:rPr>
          <w:rFonts w:cstheme="minorHAnsi"/>
          <w:sz w:val="24"/>
          <w:szCs w:val="24"/>
        </w:rPr>
        <w:t>T-</w:t>
      </w:r>
      <w:r w:rsidR="00B97FA0" w:rsidRPr="00CA4DA0">
        <w:rPr>
          <w:rFonts w:cstheme="minorHAnsi"/>
          <w:sz w:val="24"/>
          <w:szCs w:val="24"/>
        </w:rPr>
        <w:t>b</w:t>
      </w:r>
      <w:r w:rsidR="00E51AA1" w:rsidRPr="00CA4DA0">
        <w:rPr>
          <w:rFonts w:cstheme="minorHAnsi"/>
          <w:sz w:val="24"/>
          <w:szCs w:val="24"/>
        </w:rPr>
        <w:t>ill</w:t>
      </w:r>
      <w:r w:rsidR="001851D0" w:rsidRPr="00CA4DA0">
        <w:rPr>
          <w:rFonts w:cstheme="minorHAnsi"/>
          <w:sz w:val="24"/>
          <w:szCs w:val="24"/>
        </w:rPr>
        <w:t>s</w:t>
      </w:r>
      <w:r w:rsidR="00E51AA1" w:rsidRPr="00CA4DA0">
        <w:rPr>
          <w:rFonts w:cstheme="minorHAnsi"/>
          <w:sz w:val="24"/>
          <w:szCs w:val="24"/>
        </w:rPr>
        <w:t xml:space="preserve"> </w:t>
      </w:r>
      <w:r w:rsidR="00AA4F66" w:rsidRPr="00CA4DA0">
        <w:rPr>
          <w:rFonts w:cstheme="minorHAnsi"/>
          <w:sz w:val="24"/>
          <w:szCs w:val="24"/>
        </w:rPr>
        <w:t xml:space="preserve">set </w:t>
      </w:r>
      <w:r w:rsidR="00A82D9D" w:rsidRPr="00CA4DA0">
        <w:rPr>
          <w:rFonts w:cstheme="minorHAnsi"/>
          <w:sz w:val="24"/>
          <w:szCs w:val="24"/>
        </w:rPr>
        <w:t>at 3/8</w:t>
      </w:r>
      <w:r w:rsidR="00AA4F66" w:rsidRPr="00CA4DA0">
        <w:rPr>
          <w:rFonts w:cstheme="minorHAnsi"/>
          <w:sz w:val="24"/>
          <w:szCs w:val="24"/>
        </w:rPr>
        <w:t xml:space="preserve"> of </w:t>
      </w:r>
      <w:r w:rsidR="00CD2FB4" w:rsidRPr="00CA4DA0">
        <w:rPr>
          <w:rFonts w:cstheme="minorHAnsi"/>
          <w:sz w:val="24"/>
          <w:szCs w:val="24"/>
        </w:rPr>
        <w:t>1%</w:t>
      </w:r>
      <w:r w:rsidR="00AA4F66" w:rsidRPr="00CA4DA0">
        <w:rPr>
          <w:rFonts w:cstheme="minorHAnsi"/>
          <w:sz w:val="24"/>
          <w:szCs w:val="24"/>
        </w:rPr>
        <w:t xml:space="preserve"> </w:t>
      </w:r>
      <w:r w:rsidR="00A82D9D" w:rsidRPr="00CA4DA0">
        <w:rPr>
          <w:rFonts w:cstheme="minorHAnsi"/>
          <w:sz w:val="24"/>
          <w:szCs w:val="24"/>
        </w:rPr>
        <w:t xml:space="preserve">and </w:t>
      </w:r>
      <w:r w:rsidR="00AA4F66" w:rsidRPr="00CA4DA0">
        <w:rPr>
          <w:rFonts w:cstheme="minorHAnsi"/>
          <w:sz w:val="24"/>
          <w:szCs w:val="24"/>
        </w:rPr>
        <w:t xml:space="preserve">T-bonds purchased </w:t>
      </w:r>
      <w:r w:rsidR="003430AF" w:rsidRPr="00CA4DA0">
        <w:rPr>
          <w:rFonts w:cstheme="minorHAnsi"/>
          <w:sz w:val="24"/>
          <w:szCs w:val="24"/>
        </w:rPr>
        <w:t xml:space="preserve">by the Fed at a quantity and </w:t>
      </w:r>
      <w:r w:rsidR="00AA4F66" w:rsidRPr="00CA4DA0">
        <w:rPr>
          <w:rFonts w:cstheme="minorHAnsi"/>
          <w:sz w:val="24"/>
          <w:szCs w:val="24"/>
        </w:rPr>
        <w:t xml:space="preserve">a price consistent with </w:t>
      </w:r>
      <w:r w:rsidR="003430AF" w:rsidRPr="00CA4DA0">
        <w:rPr>
          <w:rFonts w:cstheme="minorHAnsi"/>
          <w:sz w:val="24"/>
          <w:szCs w:val="24"/>
        </w:rPr>
        <w:t xml:space="preserve">the maintenance of </w:t>
      </w:r>
      <w:r w:rsidR="00AA4F66" w:rsidRPr="00CA4DA0">
        <w:rPr>
          <w:rFonts w:cstheme="minorHAnsi"/>
          <w:sz w:val="24"/>
          <w:szCs w:val="24"/>
        </w:rPr>
        <w:t xml:space="preserve">a </w:t>
      </w:r>
      <w:r w:rsidR="003430AF" w:rsidRPr="00CA4DA0">
        <w:rPr>
          <w:rFonts w:cstheme="minorHAnsi"/>
          <w:sz w:val="24"/>
          <w:szCs w:val="24"/>
        </w:rPr>
        <w:t xml:space="preserve">2.5% </w:t>
      </w:r>
      <w:r w:rsidR="00AA4F66" w:rsidRPr="00CA4DA0">
        <w:rPr>
          <w:rFonts w:cstheme="minorHAnsi"/>
          <w:sz w:val="24"/>
          <w:szCs w:val="24"/>
        </w:rPr>
        <w:t xml:space="preserve">yield. </w:t>
      </w:r>
      <w:r w:rsidR="005D6266" w:rsidRPr="00CA4DA0">
        <w:rPr>
          <w:rFonts w:cstheme="minorHAnsi"/>
          <w:sz w:val="24"/>
          <w:szCs w:val="24"/>
        </w:rPr>
        <w:t>Following</w:t>
      </w:r>
      <w:r w:rsidR="001005DB" w:rsidRPr="00CA4DA0">
        <w:rPr>
          <w:rFonts w:cstheme="minorHAnsi"/>
          <w:sz w:val="24"/>
          <w:szCs w:val="24"/>
        </w:rPr>
        <w:t xml:space="preserve"> the end of the </w:t>
      </w:r>
      <w:r w:rsidR="00C27136" w:rsidRPr="00CA4DA0">
        <w:rPr>
          <w:rFonts w:cstheme="minorHAnsi"/>
          <w:sz w:val="24"/>
          <w:szCs w:val="24"/>
        </w:rPr>
        <w:t>w</w:t>
      </w:r>
      <w:r w:rsidR="001005DB" w:rsidRPr="00CA4DA0">
        <w:rPr>
          <w:rFonts w:cstheme="minorHAnsi"/>
          <w:sz w:val="24"/>
          <w:szCs w:val="24"/>
        </w:rPr>
        <w:t>ar and the 1951 Accords,</w:t>
      </w:r>
      <w:r w:rsidR="00C45F7F">
        <w:rPr>
          <w:rStyle w:val="FootnoteReference"/>
          <w:rFonts w:cstheme="minorHAnsi"/>
          <w:sz w:val="24"/>
          <w:szCs w:val="24"/>
        </w:rPr>
        <w:footnoteReference w:id="3"/>
      </w:r>
      <w:r w:rsidR="001005DB" w:rsidRPr="00CA4DA0">
        <w:rPr>
          <w:rFonts w:cstheme="minorHAnsi"/>
          <w:sz w:val="24"/>
          <w:szCs w:val="24"/>
        </w:rPr>
        <w:t xml:space="preserve"> </w:t>
      </w:r>
      <w:r w:rsidR="00237489">
        <w:rPr>
          <w:rFonts w:cstheme="minorHAnsi"/>
          <w:sz w:val="24"/>
          <w:szCs w:val="24"/>
        </w:rPr>
        <w:t>monetary policy tightened</w:t>
      </w:r>
      <w:r w:rsidR="00EC3C48">
        <w:rPr>
          <w:rFonts w:cstheme="minorHAnsi"/>
          <w:sz w:val="24"/>
          <w:szCs w:val="24"/>
        </w:rPr>
        <w:t xml:space="preserve"> </w:t>
      </w:r>
      <w:r w:rsidR="007E6714" w:rsidRPr="00CA4DA0">
        <w:rPr>
          <w:rFonts w:cstheme="minorHAnsi"/>
          <w:sz w:val="24"/>
          <w:szCs w:val="24"/>
        </w:rPr>
        <w:t xml:space="preserve">and other rates followed </w:t>
      </w:r>
      <w:r w:rsidR="005D6266" w:rsidRPr="00CA4DA0">
        <w:rPr>
          <w:rFonts w:cstheme="minorHAnsi"/>
          <w:sz w:val="24"/>
          <w:szCs w:val="24"/>
        </w:rPr>
        <w:t>until the early 1980s</w:t>
      </w:r>
      <w:r w:rsidR="00170EFB" w:rsidRPr="00CA4DA0">
        <w:rPr>
          <w:rFonts w:cstheme="minorHAnsi"/>
          <w:sz w:val="24"/>
          <w:szCs w:val="24"/>
        </w:rPr>
        <w:t>,</w:t>
      </w:r>
      <w:r w:rsidR="005D6266" w:rsidRPr="00CA4DA0">
        <w:rPr>
          <w:rFonts w:cstheme="minorHAnsi"/>
          <w:sz w:val="24"/>
          <w:szCs w:val="24"/>
        </w:rPr>
        <w:t xml:space="preserve"> when the FFR started its </w:t>
      </w:r>
      <w:r w:rsidR="00427A9D" w:rsidRPr="00CA4DA0">
        <w:rPr>
          <w:rFonts w:cstheme="minorHAnsi"/>
          <w:sz w:val="24"/>
          <w:szCs w:val="24"/>
        </w:rPr>
        <w:t>long</w:t>
      </w:r>
      <w:r w:rsidR="005D6266" w:rsidRPr="00CA4DA0">
        <w:rPr>
          <w:rFonts w:cstheme="minorHAnsi"/>
          <w:sz w:val="24"/>
          <w:szCs w:val="24"/>
        </w:rPr>
        <w:t xml:space="preserve"> decline to the present level.</w:t>
      </w:r>
      <w:r w:rsidR="0056106B" w:rsidRPr="00CA4DA0">
        <w:rPr>
          <w:rFonts w:cstheme="minorHAnsi"/>
          <w:sz w:val="24"/>
          <w:szCs w:val="24"/>
        </w:rPr>
        <w:t xml:space="preserve"> </w:t>
      </w:r>
      <w:r w:rsidR="006B582E">
        <w:rPr>
          <w:rFonts w:cstheme="minorHAnsi"/>
          <w:sz w:val="24"/>
          <w:szCs w:val="24"/>
        </w:rPr>
        <w:t>Over the past century, t</w:t>
      </w:r>
      <w:r w:rsidR="0056106B" w:rsidRPr="00CA4DA0">
        <w:rPr>
          <w:rFonts w:cstheme="minorHAnsi"/>
          <w:sz w:val="24"/>
          <w:szCs w:val="24"/>
        </w:rPr>
        <w:t>he relation between the FFR</w:t>
      </w:r>
      <w:r w:rsidR="006B582E">
        <w:rPr>
          <w:rFonts w:cstheme="minorHAnsi"/>
          <w:sz w:val="24"/>
          <w:szCs w:val="24"/>
        </w:rPr>
        <w:t xml:space="preserve"> (taken as a proxy of US monetary policy tool for </w:t>
      </w:r>
      <w:r w:rsidR="006B582E">
        <w:rPr>
          <w:rFonts w:cstheme="minorHAnsi"/>
          <w:sz w:val="24"/>
          <w:szCs w:val="24"/>
        </w:rPr>
        <w:lastRenderedPageBreak/>
        <w:t>the entire period)</w:t>
      </w:r>
      <w:r w:rsidR="0056106B" w:rsidRPr="00CA4DA0">
        <w:rPr>
          <w:rFonts w:cstheme="minorHAnsi"/>
          <w:sz w:val="24"/>
          <w:szCs w:val="24"/>
        </w:rPr>
        <w:t xml:space="preserve"> and all other interest rates is extremely strong </w:t>
      </w:r>
      <w:r w:rsidR="0048769D" w:rsidRPr="00CA4DA0">
        <w:rPr>
          <w:rFonts w:cstheme="minorHAnsi"/>
          <w:sz w:val="24"/>
          <w:szCs w:val="24"/>
        </w:rPr>
        <w:t>regardless of the term to maturity</w:t>
      </w:r>
      <w:r w:rsidR="0089117E" w:rsidRPr="00CA4DA0">
        <w:rPr>
          <w:rFonts w:cstheme="minorHAnsi"/>
          <w:sz w:val="24"/>
          <w:szCs w:val="24"/>
        </w:rPr>
        <w:t xml:space="preserve"> and holds through time</w:t>
      </w:r>
      <w:r w:rsidR="00F93FB9">
        <w:rPr>
          <w:rFonts w:cstheme="minorHAnsi"/>
          <w:sz w:val="24"/>
          <w:szCs w:val="24"/>
        </w:rPr>
        <w:t xml:space="preserve"> </w:t>
      </w:r>
      <w:r w:rsidR="00F93FB9" w:rsidRPr="00CA4DA0">
        <w:rPr>
          <w:rFonts w:cstheme="minorHAnsi"/>
          <w:sz w:val="24"/>
          <w:szCs w:val="24"/>
        </w:rPr>
        <w:t>(Figure 2)</w:t>
      </w:r>
      <w:r w:rsidR="003E508E" w:rsidRPr="00CA4DA0">
        <w:rPr>
          <w:rFonts w:cstheme="minorHAnsi"/>
          <w:sz w:val="24"/>
          <w:szCs w:val="24"/>
        </w:rPr>
        <w:t xml:space="preserve">. </w:t>
      </w:r>
    </w:p>
    <w:p w14:paraId="68088BD0" w14:textId="7C0B143F" w:rsidR="00E87080" w:rsidRPr="00CA4DA0" w:rsidRDefault="00730467" w:rsidP="00DE02D2">
      <w:pPr>
        <w:ind w:firstLine="720"/>
        <w:rPr>
          <w:rFonts w:cstheme="minorHAnsi"/>
          <w:sz w:val="24"/>
          <w:szCs w:val="24"/>
        </w:rPr>
      </w:pPr>
      <w:r>
        <w:rPr>
          <w:rFonts w:cstheme="minorHAnsi"/>
          <w:sz w:val="24"/>
          <w:szCs w:val="24"/>
        </w:rPr>
        <w:t xml:space="preserve">While </w:t>
      </w:r>
      <w:r w:rsidR="00CC3FAA" w:rsidRPr="00CA4DA0">
        <w:rPr>
          <w:rFonts w:cstheme="minorHAnsi"/>
          <w:sz w:val="24"/>
          <w:szCs w:val="24"/>
        </w:rPr>
        <w:t xml:space="preserve">monetary policy </w:t>
      </w:r>
      <w:r w:rsidR="00756182" w:rsidRPr="00CA4DA0">
        <w:rPr>
          <w:rFonts w:cstheme="minorHAnsi"/>
          <w:sz w:val="24"/>
          <w:szCs w:val="24"/>
        </w:rPr>
        <w:t>play</w:t>
      </w:r>
      <w:r>
        <w:rPr>
          <w:rFonts w:cstheme="minorHAnsi"/>
          <w:sz w:val="24"/>
          <w:szCs w:val="24"/>
        </w:rPr>
        <w:t>s</w:t>
      </w:r>
      <w:r w:rsidR="00756182" w:rsidRPr="00CA4DA0">
        <w:rPr>
          <w:rFonts w:cstheme="minorHAnsi"/>
          <w:sz w:val="24"/>
          <w:szCs w:val="24"/>
        </w:rPr>
        <w:t xml:space="preserve"> a central role in</w:t>
      </w:r>
      <w:r>
        <w:rPr>
          <w:rFonts w:cstheme="minorHAnsi"/>
          <w:sz w:val="24"/>
          <w:szCs w:val="24"/>
        </w:rPr>
        <w:t xml:space="preserve"> setting </w:t>
      </w:r>
      <w:r w:rsidR="00756182" w:rsidRPr="00CA4DA0">
        <w:rPr>
          <w:rFonts w:cstheme="minorHAnsi"/>
          <w:sz w:val="24"/>
          <w:szCs w:val="24"/>
        </w:rPr>
        <w:t>the trend of interest rate</w:t>
      </w:r>
      <w:r>
        <w:rPr>
          <w:rFonts w:cstheme="minorHAnsi"/>
          <w:sz w:val="24"/>
          <w:szCs w:val="24"/>
        </w:rPr>
        <w:t>s</w:t>
      </w:r>
      <w:r w:rsidR="00756182" w:rsidRPr="00CA4DA0">
        <w:rPr>
          <w:rFonts w:cstheme="minorHAnsi"/>
          <w:sz w:val="24"/>
          <w:szCs w:val="24"/>
        </w:rPr>
        <w:t xml:space="preserve">, two other variables are usually </w:t>
      </w:r>
      <w:r>
        <w:rPr>
          <w:rFonts w:cstheme="minorHAnsi"/>
          <w:sz w:val="24"/>
          <w:szCs w:val="24"/>
        </w:rPr>
        <w:t>emphasized when making interest-rate forecasts</w:t>
      </w:r>
      <w:r w:rsidR="00756182" w:rsidRPr="00CA4DA0">
        <w:rPr>
          <w:rFonts w:cstheme="minorHAnsi"/>
          <w:sz w:val="24"/>
          <w:szCs w:val="24"/>
        </w:rPr>
        <w:t>. The first one is the fiscal balance</w:t>
      </w:r>
      <w:r w:rsidR="009663FC" w:rsidRPr="00CA4DA0">
        <w:rPr>
          <w:rFonts w:cstheme="minorHAnsi"/>
          <w:sz w:val="24"/>
          <w:szCs w:val="24"/>
        </w:rPr>
        <w:t>.</w:t>
      </w:r>
      <w:r w:rsidR="00357F2B" w:rsidRPr="00CA4DA0">
        <w:rPr>
          <w:rFonts w:cstheme="minorHAnsi"/>
          <w:sz w:val="24"/>
          <w:szCs w:val="24"/>
        </w:rPr>
        <w:t xml:space="preserve"> T</w:t>
      </w:r>
      <w:r w:rsidR="0089117E" w:rsidRPr="00CA4DA0">
        <w:rPr>
          <w:rFonts w:cstheme="minorHAnsi"/>
          <w:sz w:val="24"/>
          <w:szCs w:val="24"/>
        </w:rPr>
        <w:t>he common view is that fiscal deficit</w:t>
      </w:r>
      <w:r w:rsidR="003711F9">
        <w:rPr>
          <w:rFonts w:cstheme="minorHAnsi"/>
          <w:sz w:val="24"/>
          <w:szCs w:val="24"/>
        </w:rPr>
        <w:t>s</w:t>
      </w:r>
      <w:r w:rsidR="0089117E" w:rsidRPr="00CA4DA0">
        <w:rPr>
          <w:rFonts w:cstheme="minorHAnsi"/>
          <w:sz w:val="24"/>
          <w:szCs w:val="24"/>
        </w:rPr>
        <w:t xml:space="preserve"> push up interest rates, which crowd</w:t>
      </w:r>
      <w:r>
        <w:rPr>
          <w:rFonts w:cstheme="minorHAnsi"/>
          <w:sz w:val="24"/>
          <w:szCs w:val="24"/>
        </w:rPr>
        <w:t>s</w:t>
      </w:r>
      <w:r w:rsidR="0089117E" w:rsidRPr="00CA4DA0">
        <w:rPr>
          <w:rFonts w:cstheme="minorHAnsi"/>
          <w:sz w:val="24"/>
          <w:szCs w:val="24"/>
        </w:rPr>
        <w:t xml:space="preserve"> out private investment. </w:t>
      </w:r>
      <w:r w:rsidR="00756182" w:rsidRPr="00CA4DA0">
        <w:rPr>
          <w:rFonts w:cstheme="minorHAnsi"/>
          <w:sz w:val="24"/>
          <w:szCs w:val="24"/>
        </w:rPr>
        <w:t xml:space="preserve">A causal look at </w:t>
      </w:r>
      <w:r w:rsidR="0089117E" w:rsidRPr="00CA4DA0">
        <w:rPr>
          <w:rFonts w:cstheme="minorHAnsi"/>
          <w:sz w:val="24"/>
          <w:szCs w:val="24"/>
        </w:rPr>
        <w:t>the data shows that there is no relationship between interest rates and the fiscal position of the US government</w:t>
      </w:r>
      <w:r w:rsidR="00B26CA9">
        <w:rPr>
          <w:rFonts w:cstheme="minorHAnsi"/>
          <w:sz w:val="24"/>
          <w:szCs w:val="24"/>
        </w:rPr>
        <w:t xml:space="preserve">. </w:t>
      </w:r>
      <w:r w:rsidR="00D87B27" w:rsidRPr="00CA4DA0">
        <w:rPr>
          <w:rFonts w:cstheme="minorHAnsi"/>
          <w:sz w:val="24"/>
          <w:szCs w:val="24"/>
        </w:rPr>
        <w:t>Recent theoretical and empirical work emphasize the key role played by monetary sovereignty in influencing that relation, with the relation being weak when governments are monetarily sovereign</w:t>
      </w:r>
      <w:r w:rsidR="003711F9">
        <w:rPr>
          <w:rFonts w:cstheme="minorHAnsi"/>
          <w:sz w:val="24"/>
          <w:szCs w:val="24"/>
        </w:rPr>
        <w:t>. T</w:t>
      </w:r>
      <w:r w:rsidR="00E87080" w:rsidRPr="00CA4DA0">
        <w:rPr>
          <w:rFonts w:cstheme="minorHAnsi"/>
          <w:sz w:val="24"/>
          <w:szCs w:val="24"/>
        </w:rPr>
        <w:t>he</w:t>
      </w:r>
      <w:r w:rsidR="00D87B27" w:rsidRPr="00CA4DA0">
        <w:rPr>
          <w:rFonts w:cstheme="minorHAnsi"/>
          <w:sz w:val="24"/>
          <w:szCs w:val="24"/>
        </w:rPr>
        <w:t xml:space="preserve"> fiscal and monetary </w:t>
      </w:r>
      <w:r w:rsidR="00E87080" w:rsidRPr="00CA4DA0">
        <w:rPr>
          <w:rFonts w:cstheme="minorHAnsi"/>
          <w:sz w:val="24"/>
          <w:szCs w:val="24"/>
        </w:rPr>
        <w:t>branches of government</w:t>
      </w:r>
      <w:r w:rsidR="00D87B27" w:rsidRPr="00CA4DA0">
        <w:rPr>
          <w:rFonts w:cstheme="minorHAnsi"/>
          <w:sz w:val="24"/>
          <w:szCs w:val="24"/>
        </w:rPr>
        <w:t xml:space="preserve"> coordinate their operations to limit the impact of government </w:t>
      </w:r>
      <w:r w:rsidR="00E87080" w:rsidRPr="00CA4DA0">
        <w:rPr>
          <w:rFonts w:cstheme="minorHAnsi"/>
          <w:sz w:val="24"/>
          <w:szCs w:val="24"/>
        </w:rPr>
        <w:t xml:space="preserve">financial </w:t>
      </w:r>
      <w:r w:rsidR="00D87B27" w:rsidRPr="00CA4DA0">
        <w:rPr>
          <w:rFonts w:cstheme="minorHAnsi"/>
          <w:sz w:val="24"/>
          <w:szCs w:val="24"/>
        </w:rPr>
        <w:t>operations on the payment system</w:t>
      </w:r>
      <w:r w:rsidR="00E87080" w:rsidRPr="00CA4DA0">
        <w:rPr>
          <w:rFonts w:cstheme="minorHAnsi"/>
          <w:sz w:val="24"/>
          <w:szCs w:val="24"/>
        </w:rPr>
        <w:t xml:space="preserve"> (Sharpe </w:t>
      </w:r>
      <w:r w:rsidR="007F4764" w:rsidRPr="00CA4DA0">
        <w:rPr>
          <w:rFonts w:cstheme="minorHAnsi"/>
          <w:sz w:val="24"/>
          <w:szCs w:val="24"/>
        </w:rPr>
        <w:t>2013</w:t>
      </w:r>
      <w:r w:rsidR="00E87080" w:rsidRPr="00CA4DA0">
        <w:rPr>
          <w:rFonts w:cstheme="minorHAnsi"/>
          <w:sz w:val="24"/>
          <w:szCs w:val="24"/>
        </w:rPr>
        <w:t>, Tymoigne 20</w:t>
      </w:r>
      <w:r w:rsidR="00CA4DA0">
        <w:rPr>
          <w:rFonts w:cstheme="minorHAnsi"/>
          <w:sz w:val="24"/>
          <w:szCs w:val="24"/>
        </w:rPr>
        <w:t>20</w:t>
      </w:r>
      <w:r w:rsidR="00E87080" w:rsidRPr="00CA4DA0">
        <w:rPr>
          <w:rFonts w:cstheme="minorHAnsi"/>
          <w:sz w:val="24"/>
          <w:szCs w:val="24"/>
        </w:rPr>
        <w:t>)</w:t>
      </w:r>
      <w:r w:rsidR="00D87B27" w:rsidRPr="00CA4DA0">
        <w:rPr>
          <w:rFonts w:cstheme="minorHAnsi"/>
          <w:sz w:val="24"/>
          <w:szCs w:val="24"/>
        </w:rPr>
        <w:t>.</w:t>
      </w:r>
      <w:r w:rsidR="009663FC" w:rsidRPr="00CA4DA0">
        <w:rPr>
          <w:rFonts w:cstheme="minorHAnsi"/>
          <w:sz w:val="24"/>
          <w:szCs w:val="24"/>
        </w:rPr>
        <w:t xml:space="preserve"> </w:t>
      </w:r>
    </w:p>
    <w:p w14:paraId="29EC93E8" w14:textId="0C7DB624" w:rsidR="003810B5" w:rsidRPr="00CA4DA0" w:rsidRDefault="00FB11D9" w:rsidP="00DE02D2">
      <w:pPr>
        <w:ind w:firstLine="720"/>
        <w:rPr>
          <w:rFonts w:cstheme="minorHAnsi"/>
          <w:sz w:val="24"/>
          <w:szCs w:val="24"/>
        </w:rPr>
      </w:pPr>
      <w:r w:rsidRPr="00CA4DA0">
        <w:rPr>
          <w:rFonts w:cstheme="minorHAnsi"/>
          <w:sz w:val="24"/>
          <w:szCs w:val="24"/>
        </w:rPr>
        <w:t>Beside</w:t>
      </w:r>
      <w:r w:rsidR="003711F9">
        <w:rPr>
          <w:rFonts w:cstheme="minorHAnsi"/>
          <w:sz w:val="24"/>
          <w:szCs w:val="24"/>
        </w:rPr>
        <w:t>s</w:t>
      </w:r>
      <w:r w:rsidRPr="00CA4DA0">
        <w:rPr>
          <w:rFonts w:cstheme="minorHAnsi"/>
          <w:sz w:val="24"/>
          <w:szCs w:val="24"/>
        </w:rPr>
        <w:t xml:space="preserve"> the fiscal balance, another </w:t>
      </w:r>
      <w:r w:rsidR="00CA4103" w:rsidRPr="00CA4DA0">
        <w:rPr>
          <w:rFonts w:cstheme="minorHAnsi"/>
          <w:sz w:val="24"/>
          <w:szCs w:val="24"/>
        </w:rPr>
        <w:t>often-cited</w:t>
      </w:r>
      <w:r w:rsidRPr="00CA4DA0">
        <w:rPr>
          <w:rFonts w:cstheme="minorHAnsi"/>
          <w:sz w:val="24"/>
          <w:szCs w:val="24"/>
        </w:rPr>
        <w:t xml:space="preserve"> variable that</w:t>
      </w:r>
      <w:r w:rsidR="00612D5A">
        <w:rPr>
          <w:rFonts w:cstheme="minorHAnsi"/>
          <w:sz w:val="24"/>
          <w:szCs w:val="24"/>
        </w:rPr>
        <w:t xml:space="preserve"> is supposed to</w:t>
      </w:r>
      <w:r w:rsidRPr="00CA4DA0">
        <w:rPr>
          <w:rFonts w:cstheme="minorHAnsi"/>
          <w:sz w:val="24"/>
          <w:szCs w:val="24"/>
        </w:rPr>
        <w:t xml:space="preserve"> influence interest rates is inflation. The relation is explained by the influential work of Irving Fisher (1930</w:t>
      </w:r>
      <w:r w:rsidR="00612D5A">
        <w:rPr>
          <w:rFonts w:cstheme="minorHAnsi"/>
          <w:sz w:val="24"/>
          <w:szCs w:val="24"/>
        </w:rPr>
        <w:t>). M</w:t>
      </w:r>
      <w:r w:rsidRPr="00CA4DA0">
        <w:rPr>
          <w:rFonts w:cstheme="minorHAnsi"/>
          <w:sz w:val="24"/>
          <w:szCs w:val="24"/>
        </w:rPr>
        <w:t>any empirical studies, including Fisher’s, have shown that the Fisher effect does not hold. Cooray (2002) provides a review of the empirical literature and additional references can be found in Stock and Watson (2003), Ghazali and Ramlee (2003), Koustas and Serletis (1999), Sargent (1976), and Haliassos and Tobin (1990).</w:t>
      </w:r>
      <w:r w:rsidR="00E87080" w:rsidRPr="00CA4DA0">
        <w:rPr>
          <w:rFonts w:cstheme="minorHAnsi"/>
          <w:sz w:val="24"/>
          <w:szCs w:val="24"/>
        </w:rPr>
        <w:t xml:space="preserve"> </w:t>
      </w:r>
      <w:r w:rsidRPr="00CA4DA0">
        <w:rPr>
          <w:rFonts w:cstheme="minorHAnsi"/>
          <w:sz w:val="24"/>
          <w:szCs w:val="24"/>
        </w:rPr>
        <w:t>Figure 3 shows that, in the US, there is no relation between inflation measured by the CPI and interest rates, whatever the maturity, until the mid 1950s. After that period, interest rates are more closely related to inflation. Friedman and Schwartz (1976) and Summers (1983) argue that, perhaps, financial-market participants have “learned their Fisher.”</w:t>
      </w:r>
      <w:r w:rsidR="003046D7">
        <w:rPr>
          <w:rFonts w:cstheme="minorHAnsi"/>
          <w:sz w:val="24"/>
          <w:szCs w:val="24"/>
        </w:rPr>
        <w:t xml:space="preserve"> </w:t>
      </w:r>
      <w:r w:rsidRPr="00CA4DA0">
        <w:rPr>
          <w:rFonts w:cstheme="minorHAnsi"/>
          <w:sz w:val="24"/>
          <w:szCs w:val="24"/>
        </w:rPr>
        <w:t>Tymoigne (2006) provides a different explanation of the break in the relationship between interest rates and inflation. The break</w:t>
      </w:r>
      <w:r w:rsidR="00C06C6F" w:rsidRPr="00CA4DA0">
        <w:rPr>
          <w:rFonts w:cstheme="minorHAnsi"/>
          <w:sz w:val="24"/>
          <w:szCs w:val="24"/>
        </w:rPr>
        <w:t xml:space="preserve"> in the</w:t>
      </w:r>
      <w:r w:rsidRPr="00CA4DA0">
        <w:rPr>
          <w:rFonts w:cstheme="minorHAnsi"/>
          <w:sz w:val="24"/>
          <w:szCs w:val="24"/>
        </w:rPr>
        <w:t xml:space="preserve"> date can be explained by the change in monetary policy following the Treasury Accord of 1951</w:t>
      </w:r>
      <w:r w:rsidR="00C06C6F" w:rsidRPr="00CA4DA0">
        <w:rPr>
          <w:rFonts w:cstheme="minorHAnsi"/>
          <w:sz w:val="24"/>
          <w:szCs w:val="24"/>
        </w:rPr>
        <w:t xml:space="preserve"> (Figure 4)</w:t>
      </w:r>
      <w:r w:rsidRPr="00CA4DA0">
        <w:rPr>
          <w:rFonts w:cstheme="minorHAnsi"/>
          <w:sz w:val="24"/>
          <w:szCs w:val="24"/>
        </w:rPr>
        <w:t xml:space="preserve">. By 1953, the Fed had freed itself completely from any </w:t>
      </w:r>
      <w:r w:rsidR="00C06C6F" w:rsidRPr="00CA4DA0">
        <w:rPr>
          <w:rFonts w:cstheme="minorHAnsi"/>
          <w:sz w:val="24"/>
          <w:szCs w:val="24"/>
        </w:rPr>
        <w:t>commitment</w:t>
      </w:r>
      <w:r w:rsidRPr="00CA4DA0">
        <w:rPr>
          <w:rFonts w:cstheme="minorHAnsi"/>
          <w:sz w:val="24"/>
          <w:szCs w:val="24"/>
        </w:rPr>
        <w:t xml:space="preserve"> </w:t>
      </w:r>
      <w:r w:rsidR="00C06C6F" w:rsidRPr="00CA4DA0">
        <w:rPr>
          <w:rFonts w:cstheme="minorHAnsi"/>
          <w:sz w:val="24"/>
          <w:szCs w:val="24"/>
        </w:rPr>
        <w:t>to ensure</w:t>
      </w:r>
      <w:r w:rsidRPr="00CA4DA0">
        <w:rPr>
          <w:rFonts w:cstheme="minorHAnsi"/>
          <w:sz w:val="24"/>
          <w:szCs w:val="24"/>
        </w:rPr>
        <w:t xml:space="preserve"> the perfect liquidity of Treasuries (Beard 1964). Following this operational change, and given the growing concerns about inflation and the </w:t>
      </w:r>
      <w:r w:rsidR="003046D7">
        <w:rPr>
          <w:rFonts w:cstheme="minorHAnsi"/>
          <w:sz w:val="24"/>
          <w:szCs w:val="24"/>
        </w:rPr>
        <w:t>spread of Monetarism in policy circles</w:t>
      </w:r>
      <w:r w:rsidRPr="00CA4DA0">
        <w:rPr>
          <w:rFonts w:cstheme="minorHAnsi"/>
          <w:sz w:val="24"/>
          <w:szCs w:val="24"/>
        </w:rPr>
        <w:t>, the central b</w:t>
      </w:r>
      <w:r w:rsidR="003046D7">
        <w:rPr>
          <w:rFonts w:cstheme="minorHAnsi"/>
          <w:sz w:val="24"/>
          <w:szCs w:val="24"/>
        </w:rPr>
        <w:t>ank oriented its policy toward managing inflation. As a consequence</w:t>
      </w:r>
      <w:r w:rsidR="00B26CA9">
        <w:rPr>
          <w:rFonts w:cstheme="minorHAnsi"/>
          <w:sz w:val="24"/>
          <w:szCs w:val="24"/>
        </w:rPr>
        <w:t>,</w:t>
      </w:r>
      <w:r w:rsidR="003046D7">
        <w:rPr>
          <w:rFonts w:cstheme="minorHAnsi"/>
          <w:sz w:val="24"/>
          <w:szCs w:val="24"/>
        </w:rPr>
        <w:t xml:space="preserve"> </w:t>
      </w:r>
      <w:r w:rsidR="00B26CA9">
        <w:rPr>
          <w:rFonts w:cstheme="minorHAnsi"/>
          <w:sz w:val="24"/>
          <w:szCs w:val="24"/>
        </w:rPr>
        <w:t>the policy rate</w:t>
      </w:r>
      <w:r w:rsidRPr="00CA4DA0">
        <w:rPr>
          <w:rFonts w:cstheme="minorHAnsi"/>
          <w:sz w:val="24"/>
          <w:szCs w:val="24"/>
        </w:rPr>
        <w:t xml:space="preserve"> </w:t>
      </w:r>
      <w:r w:rsidR="003046D7">
        <w:rPr>
          <w:rFonts w:cstheme="minorHAnsi"/>
          <w:sz w:val="24"/>
          <w:szCs w:val="24"/>
        </w:rPr>
        <w:t>became correlated with the growth rate of</w:t>
      </w:r>
      <w:r w:rsidRPr="00CA4DA0">
        <w:rPr>
          <w:rFonts w:cstheme="minorHAnsi"/>
          <w:sz w:val="24"/>
          <w:szCs w:val="24"/>
        </w:rPr>
        <w:t xml:space="preserve"> the consumer-price </w:t>
      </w:r>
      <w:r w:rsidR="003046D7">
        <w:rPr>
          <w:rFonts w:cstheme="minorHAnsi"/>
          <w:sz w:val="24"/>
          <w:szCs w:val="24"/>
        </w:rPr>
        <w:t>index and so</w:t>
      </w:r>
      <w:r w:rsidR="00397655" w:rsidRPr="00CA4DA0">
        <w:rPr>
          <w:rFonts w:cstheme="minorHAnsi"/>
          <w:sz w:val="24"/>
          <w:szCs w:val="24"/>
        </w:rPr>
        <w:t xml:space="preserve"> </w:t>
      </w:r>
      <w:r w:rsidR="00AE6AAD">
        <w:rPr>
          <w:rFonts w:cstheme="minorHAnsi"/>
          <w:sz w:val="24"/>
          <w:szCs w:val="24"/>
        </w:rPr>
        <w:t xml:space="preserve">did </w:t>
      </w:r>
      <w:r w:rsidR="00397655" w:rsidRPr="00CA4DA0">
        <w:rPr>
          <w:rFonts w:cstheme="minorHAnsi"/>
          <w:sz w:val="24"/>
          <w:szCs w:val="24"/>
        </w:rPr>
        <w:t xml:space="preserve">other rates. </w:t>
      </w:r>
      <w:r w:rsidR="00AE6AAD">
        <w:rPr>
          <w:rFonts w:cstheme="minorHAnsi"/>
          <w:sz w:val="24"/>
          <w:szCs w:val="24"/>
        </w:rPr>
        <w:t>T</w:t>
      </w:r>
      <w:r w:rsidR="00397655" w:rsidRPr="00CA4DA0">
        <w:rPr>
          <w:rFonts w:cstheme="minorHAnsi"/>
          <w:sz w:val="24"/>
          <w:szCs w:val="24"/>
        </w:rPr>
        <w:t xml:space="preserve">he higher </w:t>
      </w:r>
      <w:r w:rsidR="00612D5A">
        <w:rPr>
          <w:rFonts w:cstheme="minorHAnsi"/>
          <w:sz w:val="24"/>
          <w:szCs w:val="24"/>
        </w:rPr>
        <w:t xml:space="preserve">coefficient of </w:t>
      </w:r>
      <w:r w:rsidR="00397655" w:rsidRPr="00CA4DA0">
        <w:rPr>
          <w:rFonts w:cstheme="minorHAnsi"/>
          <w:sz w:val="24"/>
          <w:szCs w:val="24"/>
        </w:rPr>
        <w:t xml:space="preserve">correlations after 1953 do not reflect the fact that </w:t>
      </w:r>
      <w:r w:rsidR="00AE6AAD">
        <w:rPr>
          <w:rFonts w:cstheme="minorHAnsi"/>
          <w:sz w:val="24"/>
          <w:szCs w:val="24"/>
        </w:rPr>
        <w:t>financial market participants</w:t>
      </w:r>
      <w:r w:rsidR="00397655" w:rsidRPr="00CA4DA0">
        <w:rPr>
          <w:rFonts w:cstheme="minorHAnsi"/>
          <w:sz w:val="24"/>
          <w:szCs w:val="24"/>
        </w:rPr>
        <w:t xml:space="preserve"> suddenly became more preoccupied with inflation</w:t>
      </w:r>
      <w:r w:rsidR="00612D5A">
        <w:rPr>
          <w:rFonts w:cstheme="minorHAnsi"/>
          <w:sz w:val="24"/>
          <w:szCs w:val="24"/>
        </w:rPr>
        <w:t>,</w:t>
      </w:r>
      <w:r w:rsidR="006B1A96">
        <w:rPr>
          <w:rFonts w:cstheme="minorHAnsi"/>
          <w:sz w:val="24"/>
          <w:szCs w:val="24"/>
        </w:rPr>
        <w:t xml:space="preserve"> rather</w:t>
      </w:r>
      <w:r w:rsidR="00612D5A">
        <w:rPr>
          <w:rFonts w:cstheme="minorHAnsi"/>
          <w:sz w:val="24"/>
          <w:szCs w:val="24"/>
        </w:rPr>
        <w:t xml:space="preserve"> they reflect</w:t>
      </w:r>
      <w:r w:rsidR="00397655" w:rsidRPr="00CA4DA0">
        <w:rPr>
          <w:rFonts w:cstheme="minorHAnsi"/>
          <w:sz w:val="24"/>
          <w:szCs w:val="24"/>
        </w:rPr>
        <w:t xml:space="preserve"> the continuity of interest-rate dynamics bas</w:t>
      </w:r>
      <w:r w:rsidR="003046D7">
        <w:rPr>
          <w:rFonts w:cstheme="minorHAnsi"/>
          <w:sz w:val="24"/>
          <w:szCs w:val="24"/>
        </w:rPr>
        <w:t>ed on the dominance of monetary-</w:t>
      </w:r>
      <w:r w:rsidR="00397655" w:rsidRPr="00CA4DA0">
        <w:rPr>
          <w:rFonts w:cstheme="minorHAnsi"/>
          <w:sz w:val="24"/>
          <w:szCs w:val="24"/>
        </w:rPr>
        <w:t>policy decisions</w:t>
      </w:r>
      <w:r w:rsidR="0075484A" w:rsidRPr="00CA4DA0">
        <w:rPr>
          <w:rFonts w:cstheme="minorHAnsi"/>
          <w:sz w:val="24"/>
          <w:szCs w:val="24"/>
        </w:rPr>
        <w:t xml:space="preserve">. </w:t>
      </w:r>
    </w:p>
    <w:p w14:paraId="6249883F" w14:textId="15A02D35" w:rsidR="00612D5A" w:rsidRDefault="0075484A" w:rsidP="00DE02D2">
      <w:pPr>
        <w:ind w:firstLine="720"/>
        <w:rPr>
          <w:rFonts w:eastAsia="Times New Roman" w:cstheme="minorHAnsi"/>
          <w:sz w:val="24"/>
          <w:szCs w:val="24"/>
        </w:rPr>
      </w:pPr>
      <w:r w:rsidRPr="00CA4DA0">
        <w:rPr>
          <w:rFonts w:cstheme="minorHAnsi"/>
          <w:sz w:val="24"/>
          <w:szCs w:val="24"/>
        </w:rPr>
        <w:t>Credit risk and other spread-influencing factors create variations around the trend of interest rate</w:t>
      </w:r>
      <w:r w:rsidR="00794E71" w:rsidRPr="00CA4DA0">
        <w:rPr>
          <w:rFonts w:cstheme="minorHAnsi"/>
          <w:sz w:val="24"/>
          <w:szCs w:val="24"/>
        </w:rPr>
        <w:t>s</w:t>
      </w:r>
      <w:r w:rsidRPr="00CA4DA0">
        <w:rPr>
          <w:rFonts w:cstheme="minorHAnsi"/>
          <w:sz w:val="24"/>
          <w:szCs w:val="24"/>
        </w:rPr>
        <w:t xml:space="preserve"> but are not key determinant of the trend. </w:t>
      </w:r>
      <w:r w:rsidR="003810B5" w:rsidRPr="00CA4DA0">
        <w:rPr>
          <w:rFonts w:cstheme="minorHAnsi"/>
          <w:sz w:val="24"/>
          <w:szCs w:val="24"/>
        </w:rPr>
        <w:t xml:space="preserve">An important distinction </w:t>
      </w:r>
      <w:r w:rsidR="00612D5A">
        <w:rPr>
          <w:rFonts w:cstheme="minorHAnsi"/>
          <w:sz w:val="24"/>
          <w:szCs w:val="24"/>
        </w:rPr>
        <w:t xml:space="preserve">to make </w:t>
      </w:r>
      <w:r w:rsidR="00AE6AAD">
        <w:rPr>
          <w:rFonts w:cstheme="minorHAnsi"/>
          <w:sz w:val="24"/>
          <w:szCs w:val="24"/>
        </w:rPr>
        <w:t>to understand</w:t>
      </w:r>
      <w:r w:rsidR="003810B5" w:rsidRPr="00CA4DA0">
        <w:rPr>
          <w:rFonts w:cstheme="minorHAnsi"/>
          <w:sz w:val="24"/>
          <w:szCs w:val="24"/>
        </w:rPr>
        <w:t xml:space="preserve"> the role of credit ratings in influencing rates is between government securities and non-government securities</w:t>
      </w:r>
      <w:r w:rsidR="00AE6AAD">
        <w:rPr>
          <w:rFonts w:cstheme="minorHAnsi"/>
          <w:sz w:val="24"/>
          <w:szCs w:val="24"/>
        </w:rPr>
        <w:t>.</w:t>
      </w:r>
      <w:r w:rsidR="003810B5" w:rsidRPr="00CA4DA0">
        <w:rPr>
          <w:rFonts w:cstheme="minorHAnsi"/>
          <w:sz w:val="24"/>
          <w:szCs w:val="24"/>
        </w:rPr>
        <w:t xml:space="preserve"> </w:t>
      </w:r>
      <w:r w:rsidR="003810B5" w:rsidRPr="00CA4DA0">
        <w:rPr>
          <w:rFonts w:eastAsia="Times New Roman" w:cstheme="minorHAnsi"/>
          <w:sz w:val="24"/>
          <w:szCs w:val="24"/>
        </w:rPr>
        <w:t>With monetary sovereignty, there is no difficulty to service the public debt</w:t>
      </w:r>
      <w:r w:rsidR="003046D7">
        <w:rPr>
          <w:rFonts w:eastAsia="Times New Roman" w:cstheme="minorHAnsi"/>
          <w:sz w:val="24"/>
          <w:szCs w:val="24"/>
        </w:rPr>
        <w:t xml:space="preserve"> denominated in the domestic currency</w:t>
      </w:r>
      <w:r w:rsidR="001F7A73">
        <w:rPr>
          <w:rFonts w:eastAsia="Times New Roman" w:cstheme="minorHAnsi"/>
          <w:sz w:val="24"/>
          <w:szCs w:val="24"/>
        </w:rPr>
        <w:t>,</w:t>
      </w:r>
      <w:r w:rsidR="003810B5" w:rsidRPr="00CA4DA0">
        <w:rPr>
          <w:rFonts w:eastAsia="Times New Roman" w:cstheme="minorHAnsi"/>
          <w:sz w:val="24"/>
          <w:szCs w:val="24"/>
        </w:rPr>
        <w:t xml:space="preserve"> and default is a remote possibility in normal times. Cantor and Parker (1995) provide some examples of such default</w:t>
      </w:r>
      <w:r w:rsidR="001F7A73">
        <w:rPr>
          <w:rFonts w:eastAsia="Times New Roman" w:cstheme="minorHAnsi"/>
          <w:sz w:val="24"/>
          <w:szCs w:val="24"/>
        </w:rPr>
        <w:t>s</w:t>
      </w:r>
      <w:r w:rsidR="003810B5" w:rsidRPr="00CA4DA0">
        <w:rPr>
          <w:rFonts w:eastAsia="Times New Roman" w:cstheme="minorHAnsi"/>
          <w:sz w:val="24"/>
          <w:szCs w:val="24"/>
        </w:rPr>
        <w:t xml:space="preserve"> and note that “domestic currency defaults have usually been the result of an overthrow of an old political order—as in Russia and Vietnam—or the byproduct of dramatic economic adjustment </w:t>
      </w:r>
      <w:r w:rsidR="003810B5" w:rsidRPr="00CA4DA0">
        <w:rPr>
          <w:rFonts w:eastAsia="Times New Roman" w:cstheme="minorHAnsi"/>
          <w:sz w:val="24"/>
          <w:szCs w:val="24"/>
        </w:rPr>
        <w:lastRenderedPageBreak/>
        <w:t xml:space="preserve">programs aimed at curbing hyperinflation—as in Argentina and Brazil” (Ibid, 3). Involuntary defaults have occurred also for technical reasons. For example, Venezuela is counted as having defaulted because “the person who was supposed to sign the checks was unavailable at the time” (Cantor et al. 2008, 17). The U.S. also defaulted in 1979 due to “unanticipated failure of word processing equipment used to prepare check schedules” (Zivney and Marcus 1989). Thus, while there have </w:t>
      </w:r>
      <w:r w:rsidR="00AE6AAD" w:rsidRPr="00CA4DA0">
        <w:rPr>
          <w:rFonts w:eastAsia="Times New Roman" w:cstheme="minorHAnsi"/>
          <w:sz w:val="24"/>
          <w:szCs w:val="24"/>
        </w:rPr>
        <w:t>been a</w:t>
      </w:r>
      <w:r w:rsidR="003810B5" w:rsidRPr="00CA4DA0">
        <w:rPr>
          <w:rFonts w:eastAsia="Times New Roman" w:cstheme="minorHAnsi"/>
          <w:sz w:val="24"/>
          <w:szCs w:val="24"/>
        </w:rPr>
        <w:t xml:space="preserve"> few cases of default on the domestic-denominated public debt by monetary sovereign governments, in normal times they are benign. For analytical purposes, one can assume that the probability of default on such government securities is zero; </w:t>
      </w:r>
      <w:r w:rsidR="003046D7">
        <w:rPr>
          <w:rFonts w:eastAsia="Times New Roman" w:cstheme="minorHAnsi"/>
          <w:sz w:val="24"/>
          <w:szCs w:val="24"/>
        </w:rPr>
        <w:t xml:space="preserve">a </w:t>
      </w:r>
      <w:r w:rsidR="003810B5" w:rsidRPr="00CA4DA0">
        <w:rPr>
          <w:rFonts w:eastAsia="Times New Roman" w:cstheme="minorHAnsi"/>
          <w:sz w:val="24"/>
          <w:szCs w:val="24"/>
        </w:rPr>
        <w:t>credit rating</w:t>
      </w:r>
      <w:r w:rsidR="003046D7">
        <w:rPr>
          <w:rFonts w:eastAsia="Times New Roman" w:cstheme="minorHAnsi"/>
          <w:sz w:val="24"/>
          <w:szCs w:val="24"/>
        </w:rPr>
        <w:t xml:space="preserve"> is irrelevant</w:t>
      </w:r>
      <w:r w:rsidR="003810B5" w:rsidRPr="00CA4DA0">
        <w:rPr>
          <w:rFonts w:eastAsia="Times New Roman" w:cstheme="minorHAnsi"/>
          <w:sz w:val="24"/>
          <w:szCs w:val="24"/>
        </w:rPr>
        <w:t xml:space="preserve">. If such </w:t>
      </w:r>
      <w:r w:rsidR="001F7A73">
        <w:rPr>
          <w:rFonts w:eastAsia="Times New Roman" w:cstheme="minorHAnsi"/>
          <w:sz w:val="24"/>
          <w:szCs w:val="24"/>
        </w:rPr>
        <w:t xml:space="preserve">a </w:t>
      </w:r>
      <w:r w:rsidR="003810B5" w:rsidRPr="00CA4DA0">
        <w:rPr>
          <w:rFonts w:eastAsia="Times New Roman" w:cstheme="minorHAnsi"/>
          <w:sz w:val="24"/>
          <w:szCs w:val="24"/>
        </w:rPr>
        <w:t xml:space="preserve">rating exists, </w:t>
      </w:r>
      <w:r w:rsidR="00612D5A">
        <w:rPr>
          <w:rFonts w:eastAsia="Times New Roman" w:cstheme="minorHAnsi"/>
          <w:sz w:val="24"/>
          <w:szCs w:val="24"/>
        </w:rPr>
        <w:t xml:space="preserve">it </w:t>
      </w:r>
      <w:r w:rsidR="003810B5" w:rsidRPr="00CA4DA0">
        <w:rPr>
          <w:rFonts w:eastAsia="Times New Roman" w:cstheme="minorHAnsi"/>
          <w:sz w:val="24"/>
          <w:szCs w:val="24"/>
        </w:rPr>
        <w:t>has no predictive power and has no influence on</w:t>
      </w:r>
      <w:r w:rsidR="00BB19F3">
        <w:rPr>
          <w:rFonts w:eastAsia="Times New Roman" w:cstheme="minorHAnsi"/>
          <w:sz w:val="24"/>
          <w:szCs w:val="24"/>
        </w:rPr>
        <w:t xml:space="preserve"> the interest rates of domestic-currency-</w:t>
      </w:r>
      <w:r w:rsidR="003810B5" w:rsidRPr="00CA4DA0">
        <w:rPr>
          <w:rFonts w:eastAsia="Times New Roman" w:cstheme="minorHAnsi"/>
          <w:sz w:val="24"/>
          <w:szCs w:val="24"/>
        </w:rPr>
        <w:t xml:space="preserve">denominated public debt when monetary sovereignty prevails. </w:t>
      </w:r>
      <w:r w:rsidR="00612D5A" w:rsidRPr="00CA4DA0">
        <w:rPr>
          <w:rFonts w:eastAsia="Times New Roman" w:cstheme="minorHAnsi"/>
          <w:sz w:val="24"/>
          <w:szCs w:val="24"/>
        </w:rPr>
        <w:t>Thus, credit ratings have a role only in so far as they influence the interest rates on debts issued by entities</w:t>
      </w:r>
      <w:r w:rsidR="00612D5A">
        <w:rPr>
          <w:rFonts w:eastAsia="Times New Roman" w:cstheme="minorHAnsi"/>
          <w:sz w:val="24"/>
          <w:szCs w:val="24"/>
        </w:rPr>
        <w:t xml:space="preserve"> that are non-monetarily sovereign, or on foreign debts issued by monetarily-sovereign governments</w:t>
      </w:r>
      <w:r w:rsidR="00612D5A" w:rsidRPr="00CA4DA0">
        <w:rPr>
          <w:rFonts w:eastAsia="Times New Roman" w:cstheme="minorHAnsi"/>
          <w:sz w:val="24"/>
          <w:szCs w:val="24"/>
        </w:rPr>
        <w:t>, but such influence is secondary relative to the role of monetary policy.</w:t>
      </w:r>
    </w:p>
    <w:p w14:paraId="4A15EA98" w14:textId="2C5B635C" w:rsidR="003810B5" w:rsidRPr="00CA4DA0" w:rsidRDefault="00612D5A" w:rsidP="00DE02D2">
      <w:pPr>
        <w:ind w:firstLine="720"/>
        <w:rPr>
          <w:rFonts w:eastAsia="Times New Roman" w:cstheme="minorHAnsi"/>
          <w:sz w:val="24"/>
          <w:szCs w:val="24"/>
        </w:rPr>
      </w:pPr>
      <w:r>
        <w:rPr>
          <w:rFonts w:eastAsia="Times New Roman" w:cstheme="minorHAnsi"/>
          <w:sz w:val="24"/>
          <w:szCs w:val="24"/>
        </w:rPr>
        <w:t>Finally, c</w:t>
      </w:r>
      <w:r w:rsidR="003810B5" w:rsidRPr="00CA4DA0">
        <w:rPr>
          <w:rFonts w:eastAsia="Times New Roman" w:cstheme="minorHAnsi"/>
          <w:sz w:val="24"/>
          <w:szCs w:val="24"/>
        </w:rPr>
        <w:t xml:space="preserve">ontrary to credit rating agencies (CRAs) (e.g., Standard and Poor’s 2007), such default risk must be clearly differentiated from inflation risk for three reasons. First, a government usually does not promise a constant purchasing power on upcoming </w:t>
      </w:r>
      <w:r>
        <w:rPr>
          <w:rFonts w:eastAsia="Times New Roman" w:cstheme="minorHAnsi"/>
          <w:sz w:val="24"/>
          <w:szCs w:val="24"/>
        </w:rPr>
        <w:t xml:space="preserve">public </w:t>
      </w:r>
      <w:r w:rsidR="003810B5" w:rsidRPr="00CA4DA0">
        <w:rPr>
          <w:rFonts w:eastAsia="Times New Roman" w:cstheme="minorHAnsi"/>
          <w:sz w:val="24"/>
          <w:szCs w:val="24"/>
        </w:rPr>
        <w:t>debt service payments so it is not defaulting if the</w:t>
      </w:r>
      <w:r w:rsidR="001F7A73">
        <w:rPr>
          <w:rFonts w:eastAsia="Times New Roman" w:cstheme="minorHAnsi"/>
          <w:sz w:val="24"/>
          <w:szCs w:val="24"/>
        </w:rPr>
        <w:t xml:space="preserve"> currency’s</w:t>
      </w:r>
      <w:r w:rsidR="003810B5" w:rsidRPr="00CA4DA0">
        <w:rPr>
          <w:rFonts w:eastAsia="Times New Roman" w:cstheme="minorHAnsi"/>
          <w:sz w:val="24"/>
          <w:szCs w:val="24"/>
        </w:rPr>
        <w:t xml:space="preserve"> purchasing power falls. Equally, government security holders are not required to compensate a government for any windfall </w:t>
      </w:r>
      <w:r w:rsidR="001F7A73">
        <w:rPr>
          <w:rFonts w:eastAsia="Times New Roman" w:cstheme="minorHAnsi"/>
          <w:sz w:val="24"/>
          <w:szCs w:val="24"/>
        </w:rPr>
        <w:t xml:space="preserve">loss </w:t>
      </w:r>
      <w:r w:rsidR="003810B5" w:rsidRPr="00CA4DA0">
        <w:rPr>
          <w:rFonts w:eastAsia="Times New Roman" w:cstheme="minorHAnsi"/>
          <w:sz w:val="24"/>
          <w:szCs w:val="24"/>
        </w:rPr>
        <w:t xml:space="preserve">of purchasing power due to deflation. Nominalism applies in the law so governments are under no obligation to provide a hedge against inflation; </w:t>
      </w:r>
      <w:r w:rsidR="00AE6AAD" w:rsidRPr="00CA4DA0">
        <w:rPr>
          <w:rFonts w:eastAsia="Times New Roman" w:cstheme="minorHAnsi"/>
          <w:sz w:val="24"/>
          <w:szCs w:val="24"/>
        </w:rPr>
        <w:t>bondholders</w:t>
      </w:r>
      <w:r w:rsidR="003810B5" w:rsidRPr="00CA4DA0">
        <w:rPr>
          <w:rFonts w:eastAsia="Times New Roman" w:cstheme="minorHAnsi"/>
          <w:sz w:val="24"/>
          <w:szCs w:val="24"/>
        </w:rPr>
        <w:t xml:space="preserve"> take upon themselves the inflation risk. Governments may promise to do so via inflation-indexed securities—in which case failure to maintain purchasing power is a default event—but they do not have to do it and usually do not. Second, CRAs see tax revenues as the sound means to service the public debt but inflation raises tax revenues and so raises the ability to service the debt, which lowers the default risk. Third, the CRA view of default risk implicitly assumes that the government is responsible for inflation. Not only is there no clear link between fiscal deficits and inflation</w:t>
      </w:r>
      <w:r>
        <w:rPr>
          <w:rFonts w:eastAsia="Times New Roman" w:cstheme="minorHAnsi"/>
          <w:sz w:val="24"/>
          <w:szCs w:val="24"/>
        </w:rPr>
        <w:t xml:space="preserve"> (Figure 5)</w:t>
      </w:r>
      <w:r w:rsidR="003810B5" w:rsidRPr="00CA4DA0">
        <w:rPr>
          <w:rFonts w:eastAsia="Times New Roman" w:cstheme="minorHAnsi"/>
          <w:sz w:val="24"/>
          <w:szCs w:val="24"/>
        </w:rPr>
        <w:t>, but also all forms of spending can be inflationary and the</w:t>
      </w:r>
      <w:r w:rsidR="001F7A73">
        <w:rPr>
          <w:rFonts w:eastAsia="Times New Roman" w:cstheme="minorHAnsi"/>
          <w:sz w:val="24"/>
          <w:szCs w:val="24"/>
        </w:rPr>
        <w:t>re</w:t>
      </w:r>
      <w:r w:rsidR="003810B5" w:rsidRPr="00CA4DA0">
        <w:rPr>
          <w:rFonts w:eastAsia="Times New Roman" w:cstheme="minorHAnsi"/>
          <w:sz w:val="24"/>
          <w:szCs w:val="24"/>
        </w:rPr>
        <w:t xml:space="preserve"> are other sources of inflation than spending (such as energy cost, medical cost, overhead corporate cost structure, among others). </w:t>
      </w:r>
    </w:p>
    <w:p w14:paraId="6EEA8910" w14:textId="0ACF3B59" w:rsidR="005879C8" w:rsidRPr="00CA4DA0" w:rsidRDefault="00DF5DFD" w:rsidP="00DF5DFD">
      <w:pPr>
        <w:jc w:val="center"/>
        <w:rPr>
          <w:rFonts w:cstheme="minorHAnsi"/>
          <w:sz w:val="24"/>
          <w:szCs w:val="24"/>
        </w:rPr>
      </w:pPr>
      <w:r w:rsidRPr="00CA4DA0">
        <w:rPr>
          <w:rFonts w:cstheme="minorHAnsi"/>
          <w:sz w:val="24"/>
          <w:szCs w:val="24"/>
        </w:rPr>
        <w:t>FIGURE 1 HERE</w:t>
      </w:r>
    </w:p>
    <w:p w14:paraId="4B247A88" w14:textId="10173D8B" w:rsidR="00906A34" w:rsidRPr="00CA4DA0" w:rsidRDefault="00906A34" w:rsidP="00DF5DFD">
      <w:pPr>
        <w:jc w:val="center"/>
        <w:rPr>
          <w:rFonts w:cstheme="minorHAnsi"/>
          <w:sz w:val="24"/>
          <w:szCs w:val="24"/>
        </w:rPr>
      </w:pPr>
      <w:r w:rsidRPr="00CA4DA0">
        <w:rPr>
          <w:rFonts w:cstheme="minorHAnsi"/>
          <w:sz w:val="24"/>
          <w:szCs w:val="24"/>
        </w:rPr>
        <w:t>FIGURE 2 HERE</w:t>
      </w:r>
    </w:p>
    <w:p w14:paraId="66A0C9D9" w14:textId="6FBFF032" w:rsidR="00906A34" w:rsidRPr="00CA4DA0" w:rsidRDefault="00906A34" w:rsidP="00DF5DFD">
      <w:pPr>
        <w:jc w:val="center"/>
        <w:rPr>
          <w:rFonts w:cstheme="minorHAnsi"/>
          <w:sz w:val="24"/>
          <w:szCs w:val="24"/>
        </w:rPr>
      </w:pPr>
      <w:r w:rsidRPr="00CA4DA0">
        <w:rPr>
          <w:rFonts w:cstheme="minorHAnsi"/>
          <w:sz w:val="24"/>
          <w:szCs w:val="24"/>
        </w:rPr>
        <w:t>FIGURE 3 HERE</w:t>
      </w:r>
    </w:p>
    <w:p w14:paraId="316EAD3E" w14:textId="043FA475" w:rsidR="00C06C6F" w:rsidRDefault="00C06C6F" w:rsidP="00DF5DFD">
      <w:pPr>
        <w:jc w:val="center"/>
        <w:rPr>
          <w:rFonts w:cstheme="minorHAnsi"/>
          <w:sz w:val="24"/>
          <w:szCs w:val="24"/>
        </w:rPr>
      </w:pPr>
      <w:r w:rsidRPr="00CA4DA0">
        <w:rPr>
          <w:rFonts w:cstheme="minorHAnsi"/>
          <w:sz w:val="24"/>
          <w:szCs w:val="24"/>
        </w:rPr>
        <w:t>FIGURE 4 HERE</w:t>
      </w:r>
    </w:p>
    <w:p w14:paraId="1894CA4A" w14:textId="149170C5" w:rsidR="00612D5A" w:rsidRPr="00CA4DA0" w:rsidRDefault="00612D5A" w:rsidP="00DF5DFD">
      <w:pPr>
        <w:jc w:val="center"/>
        <w:rPr>
          <w:rFonts w:cstheme="minorHAnsi"/>
          <w:sz w:val="24"/>
          <w:szCs w:val="24"/>
        </w:rPr>
      </w:pPr>
      <w:r>
        <w:rPr>
          <w:rFonts w:cstheme="minorHAnsi"/>
          <w:sz w:val="24"/>
          <w:szCs w:val="24"/>
        </w:rPr>
        <w:t>FIGURE 5 HERE</w:t>
      </w:r>
    </w:p>
    <w:p w14:paraId="0CA07E20" w14:textId="77777777" w:rsidR="001F7A73" w:rsidRDefault="0057020C" w:rsidP="0057020C">
      <w:pPr>
        <w:ind w:firstLine="720"/>
        <w:rPr>
          <w:rFonts w:cstheme="minorHAnsi"/>
          <w:sz w:val="24"/>
          <w:szCs w:val="24"/>
        </w:rPr>
      </w:pPr>
      <w:r w:rsidRPr="00CA4DA0">
        <w:rPr>
          <w:rFonts w:cstheme="minorHAnsi"/>
          <w:sz w:val="24"/>
          <w:szCs w:val="24"/>
        </w:rPr>
        <w:t>Given the tremendous influence of</w:t>
      </w:r>
      <w:r w:rsidR="006963CE" w:rsidRPr="00CA4DA0">
        <w:rPr>
          <w:rFonts w:cstheme="minorHAnsi"/>
          <w:sz w:val="24"/>
          <w:szCs w:val="24"/>
        </w:rPr>
        <w:t xml:space="preserve"> current and expected</w:t>
      </w:r>
      <w:r w:rsidRPr="00CA4DA0">
        <w:rPr>
          <w:rFonts w:cstheme="minorHAnsi"/>
          <w:sz w:val="24"/>
          <w:szCs w:val="24"/>
        </w:rPr>
        <w:t xml:space="preserve"> monetary policy on interest rates, any opinion about the future direction of interest rates must be made with a view of </w:t>
      </w:r>
      <w:r w:rsidRPr="00CA4DA0">
        <w:rPr>
          <w:rFonts w:cstheme="minorHAnsi"/>
          <w:sz w:val="24"/>
          <w:szCs w:val="24"/>
        </w:rPr>
        <w:lastRenderedPageBreak/>
        <w:t xml:space="preserve">future monetary policy. One must study what could lead the Federal Open Market Committee (FOMC) to raise its FFR target. The mandate of the Fed is to promote price stability (defined as inflation around 2% ) and maximum employment (defined as employment consistent with price stability). The FOMC informs its decisions by looking at a wide range of indicators including labor market conditions, inflation and inflation expectations. Short-term and long-term outlooks for these factors are pointing to interest rates that will stay low for an extended time. While the FOMC may decide to raise its FFR temporarily, the long-term trend is for the FFR and other rates to remain very low for a very long time. </w:t>
      </w:r>
    </w:p>
    <w:p w14:paraId="25F7DED6" w14:textId="04134328" w:rsidR="0057020C" w:rsidRPr="00CA4DA0" w:rsidRDefault="0057020C" w:rsidP="0057020C">
      <w:pPr>
        <w:ind w:firstLine="720"/>
        <w:rPr>
          <w:rFonts w:cstheme="minorHAnsi"/>
          <w:sz w:val="24"/>
          <w:szCs w:val="24"/>
        </w:rPr>
      </w:pPr>
      <w:r w:rsidRPr="00CA4DA0">
        <w:rPr>
          <w:rFonts w:cstheme="minorHAnsi"/>
          <w:sz w:val="24"/>
          <w:szCs w:val="24"/>
        </w:rPr>
        <w:t xml:space="preserve">The </w:t>
      </w:r>
      <w:r w:rsidR="007F2722" w:rsidRPr="00CA4DA0">
        <w:rPr>
          <w:rFonts w:cstheme="minorHAnsi"/>
          <w:sz w:val="24"/>
          <w:szCs w:val="24"/>
        </w:rPr>
        <w:t>following section argues that short-term and long-term economic forces indicate that the FOMC will have limited ability to raise rates in any significant fashion.</w:t>
      </w:r>
    </w:p>
    <w:p w14:paraId="02DB6648" w14:textId="77777777" w:rsidR="0048769D" w:rsidRPr="00CA4DA0" w:rsidRDefault="0048769D" w:rsidP="00DF5DFD">
      <w:pPr>
        <w:jc w:val="center"/>
        <w:rPr>
          <w:rFonts w:cstheme="minorHAnsi"/>
          <w:sz w:val="24"/>
          <w:szCs w:val="24"/>
        </w:rPr>
      </w:pPr>
    </w:p>
    <w:p w14:paraId="3FACF542" w14:textId="20A6321A" w:rsidR="005F4AEC" w:rsidRPr="00CA4DA0" w:rsidRDefault="005F4AEC" w:rsidP="005F4AEC">
      <w:pPr>
        <w:rPr>
          <w:rFonts w:cstheme="minorHAnsi"/>
          <w:b/>
          <w:sz w:val="24"/>
          <w:szCs w:val="24"/>
        </w:rPr>
      </w:pPr>
      <w:r w:rsidRPr="00CA4DA0">
        <w:rPr>
          <w:rFonts w:cstheme="minorHAnsi"/>
          <w:b/>
          <w:sz w:val="24"/>
          <w:szCs w:val="24"/>
        </w:rPr>
        <w:t>Secular Stagnation and Interest Rates</w:t>
      </w:r>
    </w:p>
    <w:p w14:paraId="29AD1150" w14:textId="673E53D0" w:rsidR="005879C8" w:rsidRPr="00CA4DA0" w:rsidRDefault="002F46E9" w:rsidP="00DE02D2">
      <w:pPr>
        <w:ind w:firstLine="720"/>
        <w:rPr>
          <w:rFonts w:cstheme="minorHAnsi"/>
          <w:sz w:val="24"/>
          <w:szCs w:val="24"/>
        </w:rPr>
      </w:pPr>
      <w:r w:rsidRPr="00CA4DA0">
        <w:rPr>
          <w:rFonts w:cstheme="minorHAnsi"/>
          <w:sz w:val="24"/>
          <w:szCs w:val="24"/>
        </w:rPr>
        <w:t>In 2020</w:t>
      </w:r>
      <w:r w:rsidR="00ED6BAE" w:rsidRPr="00CA4DA0">
        <w:rPr>
          <w:rFonts w:cstheme="minorHAnsi"/>
          <w:sz w:val="24"/>
          <w:szCs w:val="24"/>
        </w:rPr>
        <w:t>,</w:t>
      </w:r>
      <w:r w:rsidR="00C06C6F" w:rsidRPr="00CA4DA0">
        <w:rPr>
          <w:rFonts w:cstheme="minorHAnsi"/>
          <w:sz w:val="24"/>
          <w:szCs w:val="24"/>
        </w:rPr>
        <w:t xml:space="preserve"> </w:t>
      </w:r>
      <w:r w:rsidR="00ED6BAE" w:rsidRPr="00CA4DA0">
        <w:rPr>
          <w:rFonts w:cstheme="minorHAnsi"/>
          <w:sz w:val="24"/>
          <w:szCs w:val="24"/>
        </w:rPr>
        <w:t>l</w:t>
      </w:r>
      <w:r w:rsidR="00E05FAD" w:rsidRPr="00CA4DA0">
        <w:rPr>
          <w:rFonts w:cstheme="minorHAnsi"/>
          <w:sz w:val="24"/>
          <w:szCs w:val="24"/>
        </w:rPr>
        <w:t xml:space="preserve">oss of consumer confidence and lockdowns </w:t>
      </w:r>
      <w:r w:rsidR="00B97FA0" w:rsidRPr="00CA4DA0">
        <w:rPr>
          <w:rFonts w:cstheme="minorHAnsi"/>
          <w:sz w:val="24"/>
          <w:szCs w:val="24"/>
        </w:rPr>
        <w:t xml:space="preserve">depressed </w:t>
      </w:r>
      <w:r w:rsidR="00E05FAD" w:rsidRPr="00CA4DA0">
        <w:rPr>
          <w:rFonts w:cstheme="minorHAnsi"/>
          <w:sz w:val="24"/>
          <w:szCs w:val="24"/>
        </w:rPr>
        <w:t>economic activity</w:t>
      </w:r>
      <w:r w:rsidR="00ED6BAE" w:rsidRPr="00CA4DA0">
        <w:rPr>
          <w:rFonts w:cstheme="minorHAnsi"/>
          <w:sz w:val="24"/>
          <w:szCs w:val="24"/>
        </w:rPr>
        <w:t xml:space="preserve"> </w:t>
      </w:r>
      <w:r w:rsidR="00CA4103" w:rsidRPr="00CA4DA0">
        <w:rPr>
          <w:rFonts w:cstheme="minorHAnsi"/>
          <w:sz w:val="24"/>
          <w:szCs w:val="24"/>
        </w:rPr>
        <w:t>throughout</w:t>
      </w:r>
      <w:r w:rsidR="00ED6BAE" w:rsidRPr="00CA4DA0">
        <w:rPr>
          <w:rFonts w:cstheme="minorHAnsi"/>
          <w:sz w:val="24"/>
          <w:szCs w:val="24"/>
        </w:rPr>
        <w:t xml:space="preserve"> the world</w:t>
      </w:r>
      <w:r w:rsidR="003046D7">
        <w:rPr>
          <w:rFonts w:cstheme="minorHAnsi"/>
          <w:sz w:val="24"/>
          <w:szCs w:val="24"/>
        </w:rPr>
        <w:t>. W</w:t>
      </w:r>
      <w:r w:rsidR="00ED6BAE" w:rsidRPr="00CA4DA0">
        <w:rPr>
          <w:rFonts w:cstheme="minorHAnsi"/>
          <w:sz w:val="24"/>
          <w:szCs w:val="24"/>
        </w:rPr>
        <w:t xml:space="preserve">hile the economy has been recovering in some parts of the world, </w:t>
      </w:r>
      <w:r w:rsidRPr="00CA4DA0">
        <w:rPr>
          <w:rFonts w:cstheme="minorHAnsi"/>
          <w:sz w:val="24"/>
          <w:szCs w:val="24"/>
        </w:rPr>
        <w:t xml:space="preserve">the </w:t>
      </w:r>
      <w:r w:rsidR="001F7A73">
        <w:rPr>
          <w:rFonts w:cstheme="minorHAnsi"/>
          <w:sz w:val="24"/>
          <w:szCs w:val="24"/>
        </w:rPr>
        <w:t xml:space="preserve">global </w:t>
      </w:r>
      <w:r w:rsidRPr="00CA4DA0">
        <w:rPr>
          <w:rFonts w:cstheme="minorHAnsi"/>
          <w:sz w:val="24"/>
          <w:szCs w:val="24"/>
        </w:rPr>
        <w:t xml:space="preserve">economy is still in recovery </w:t>
      </w:r>
      <w:r w:rsidR="00CA4103" w:rsidRPr="00CA4DA0">
        <w:rPr>
          <w:rFonts w:cstheme="minorHAnsi"/>
          <w:sz w:val="24"/>
          <w:szCs w:val="24"/>
        </w:rPr>
        <w:t xml:space="preserve">mode. </w:t>
      </w:r>
      <w:r w:rsidR="003804C3" w:rsidRPr="00CA4DA0">
        <w:rPr>
          <w:rFonts w:cstheme="minorHAnsi"/>
          <w:sz w:val="24"/>
          <w:szCs w:val="24"/>
        </w:rPr>
        <w:t xml:space="preserve">Table 1 shows that </w:t>
      </w:r>
      <w:r w:rsidR="007F17E1" w:rsidRPr="00CA4DA0">
        <w:rPr>
          <w:rFonts w:cstheme="minorHAnsi"/>
          <w:sz w:val="24"/>
          <w:szCs w:val="24"/>
        </w:rPr>
        <w:t xml:space="preserve">real </w:t>
      </w:r>
      <w:r w:rsidR="00C27136" w:rsidRPr="00CA4DA0">
        <w:rPr>
          <w:rFonts w:cstheme="minorHAnsi"/>
          <w:sz w:val="24"/>
          <w:szCs w:val="24"/>
        </w:rPr>
        <w:t xml:space="preserve">gross domestic product </w:t>
      </w:r>
      <w:r w:rsidR="00170EFB" w:rsidRPr="00CA4DA0">
        <w:rPr>
          <w:rFonts w:cstheme="minorHAnsi"/>
          <w:sz w:val="24"/>
          <w:szCs w:val="24"/>
        </w:rPr>
        <w:t xml:space="preserve">(GDP) </w:t>
      </w:r>
      <w:r w:rsidR="001F7A73" w:rsidRPr="00CA4DA0">
        <w:rPr>
          <w:rFonts w:cstheme="minorHAnsi"/>
          <w:sz w:val="24"/>
          <w:szCs w:val="24"/>
        </w:rPr>
        <w:t>In the United States</w:t>
      </w:r>
      <w:r w:rsidR="001F7A73">
        <w:rPr>
          <w:rFonts w:cstheme="minorHAnsi"/>
          <w:sz w:val="24"/>
          <w:szCs w:val="24"/>
        </w:rPr>
        <w:t xml:space="preserve"> </w:t>
      </w:r>
      <w:r w:rsidRPr="00CA4DA0">
        <w:rPr>
          <w:rFonts w:cstheme="minorHAnsi"/>
          <w:sz w:val="24"/>
          <w:szCs w:val="24"/>
        </w:rPr>
        <w:t>fell</w:t>
      </w:r>
      <w:r w:rsidR="00F83E10" w:rsidRPr="00CA4DA0">
        <w:rPr>
          <w:rFonts w:cstheme="minorHAnsi"/>
          <w:sz w:val="24"/>
          <w:szCs w:val="24"/>
        </w:rPr>
        <w:t xml:space="preserve"> by </w:t>
      </w:r>
      <w:r w:rsidRPr="00CA4DA0">
        <w:rPr>
          <w:rFonts w:cstheme="minorHAnsi"/>
          <w:sz w:val="24"/>
          <w:szCs w:val="24"/>
        </w:rPr>
        <w:t>9</w:t>
      </w:r>
      <w:r w:rsidR="00C27136" w:rsidRPr="00CA4DA0">
        <w:rPr>
          <w:rFonts w:cstheme="minorHAnsi"/>
          <w:sz w:val="24"/>
          <w:szCs w:val="24"/>
        </w:rPr>
        <w:t>%</w:t>
      </w:r>
      <w:r w:rsidR="007A3C6B" w:rsidRPr="00CA4DA0">
        <w:rPr>
          <w:rFonts w:cstheme="minorHAnsi"/>
          <w:sz w:val="24"/>
          <w:szCs w:val="24"/>
        </w:rPr>
        <w:t xml:space="preserve"> </w:t>
      </w:r>
      <w:r w:rsidR="007F17E1" w:rsidRPr="00CA4DA0">
        <w:rPr>
          <w:rFonts w:cstheme="minorHAnsi"/>
          <w:sz w:val="24"/>
          <w:szCs w:val="24"/>
        </w:rPr>
        <w:t xml:space="preserve">in the </w:t>
      </w:r>
      <w:r w:rsidR="009633FE" w:rsidRPr="00CA4DA0">
        <w:rPr>
          <w:rFonts w:cstheme="minorHAnsi"/>
          <w:sz w:val="24"/>
          <w:szCs w:val="24"/>
        </w:rPr>
        <w:t xml:space="preserve">second </w:t>
      </w:r>
      <w:r w:rsidR="007F17E1" w:rsidRPr="00CA4DA0">
        <w:rPr>
          <w:rFonts w:cstheme="minorHAnsi"/>
          <w:sz w:val="24"/>
          <w:szCs w:val="24"/>
        </w:rPr>
        <w:t>quarter of 2020</w:t>
      </w:r>
      <w:r w:rsidRPr="00CA4DA0">
        <w:rPr>
          <w:rFonts w:cstheme="minorHAnsi"/>
          <w:sz w:val="24"/>
          <w:szCs w:val="24"/>
        </w:rPr>
        <w:t xml:space="preserve"> compared to the same quarter in 2019</w:t>
      </w:r>
      <w:r w:rsidR="00E05FAD" w:rsidRPr="00CA4DA0">
        <w:rPr>
          <w:rFonts w:cstheme="minorHAnsi"/>
          <w:sz w:val="24"/>
          <w:szCs w:val="24"/>
        </w:rPr>
        <w:t xml:space="preserve">. </w:t>
      </w:r>
      <w:r w:rsidR="009527C7" w:rsidRPr="00CA4DA0">
        <w:rPr>
          <w:rFonts w:cstheme="minorHAnsi"/>
          <w:sz w:val="24"/>
          <w:szCs w:val="24"/>
        </w:rPr>
        <w:t>L</w:t>
      </w:r>
      <w:r w:rsidR="00E05FAD" w:rsidRPr="00CA4DA0">
        <w:rPr>
          <w:rFonts w:cstheme="minorHAnsi"/>
          <w:sz w:val="24"/>
          <w:szCs w:val="24"/>
        </w:rPr>
        <w:t>abor market conditions worsened significantly in the second quarter</w:t>
      </w:r>
      <w:r w:rsidRPr="00CA4DA0">
        <w:rPr>
          <w:rFonts w:cstheme="minorHAnsi"/>
          <w:sz w:val="24"/>
          <w:szCs w:val="24"/>
        </w:rPr>
        <w:t xml:space="preserve"> 2020 when t</w:t>
      </w:r>
      <w:r w:rsidR="007A3C6B" w:rsidRPr="00CA4DA0">
        <w:rPr>
          <w:rFonts w:cstheme="minorHAnsi"/>
          <w:sz w:val="24"/>
          <w:szCs w:val="24"/>
        </w:rPr>
        <w:t xml:space="preserve">he </w:t>
      </w:r>
      <w:r w:rsidR="00E05FAD" w:rsidRPr="00CA4DA0">
        <w:rPr>
          <w:rFonts w:cstheme="minorHAnsi"/>
          <w:sz w:val="24"/>
          <w:szCs w:val="24"/>
        </w:rPr>
        <w:t xml:space="preserve">official unemployment </w:t>
      </w:r>
      <w:r w:rsidR="00AA2263" w:rsidRPr="00CA4DA0">
        <w:rPr>
          <w:rFonts w:cstheme="minorHAnsi"/>
          <w:sz w:val="24"/>
          <w:szCs w:val="24"/>
        </w:rPr>
        <w:t>rose</w:t>
      </w:r>
      <w:r w:rsidR="00E05FAD" w:rsidRPr="00CA4DA0">
        <w:rPr>
          <w:rFonts w:cstheme="minorHAnsi"/>
          <w:sz w:val="24"/>
          <w:szCs w:val="24"/>
        </w:rPr>
        <w:t xml:space="preserve"> steeply to 13</w:t>
      </w:r>
      <w:r w:rsidR="003046D7">
        <w:rPr>
          <w:rFonts w:cstheme="minorHAnsi"/>
          <w:sz w:val="24"/>
          <w:szCs w:val="24"/>
        </w:rPr>
        <w:t>.1</w:t>
      </w:r>
      <w:r w:rsidR="00C27136" w:rsidRPr="00CA4DA0">
        <w:rPr>
          <w:rFonts w:cstheme="minorHAnsi"/>
          <w:sz w:val="24"/>
          <w:szCs w:val="24"/>
        </w:rPr>
        <w:t>%,</w:t>
      </w:r>
      <w:r w:rsidR="007A3C6B" w:rsidRPr="00CA4DA0">
        <w:rPr>
          <w:rFonts w:cstheme="minorHAnsi"/>
          <w:sz w:val="24"/>
          <w:szCs w:val="24"/>
        </w:rPr>
        <w:t xml:space="preserve"> </w:t>
      </w:r>
      <w:r w:rsidR="00E05FAD" w:rsidRPr="00CA4DA0">
        <w:rPr>
          <w:rFonts w:cstheme="minorHAnsi"/>
          <w:sz w:val="24"/>
          <w:szCs w:val="24"/>
        </w:rPr>
        <w:t>and the employment</w:t>
      </w:r>
      <w:r w:rsidR="007A3C6B" w:rsidRPr="00CA4DA0">
        <w:rPr>
          <w:rFonts w:cstheme="minorHAnsi"/>
          <w:sz w:val="24"/>
          <w:szCs w:val="24"/>
        </w:rPr>
        <w:t>-</w:t>
      </w:r>
      <w:r w:rsidR="00E05FAD" w:rsidRPr="00CA4DA0">
        <w:rPr>
          <w:rFonts w:cstheme="minorHAnsi"/>
          <w:sz w:val="24"/>
          <w:szCs w:val="24"/>
        </w:rPr>
        <w:t>p</w:t>
      </w:r>
      <w:r w:rsidR="007A1E58" w:rsidRPr="00CA4DA0">
        <w:rPr>
          <w:rFonts w:cstheme="minorHAnsi"/>
          <w:sz w:val="24"/>
          <w:szCs w:val="24"/>
        </w:rPr>
        <w:t xml:space="preserve">opulation ratio </w:t>
      </w:r>
      <w:r w:rsidR="00AA2263" w:rsidRPr="00CA4DA0">
        <w:rPr>
          <w:rFonts w:cstheme="minorHAnsi"/>
          <w:sz w:val="24"/>
          <w:szCs w:val="24"/>
        </w:rPr>
        <w:t>fell</w:t>
      </w:r>
      <w:r w:rsidR="007A1E58" w:rsidRPr="00CA4DA0">
        <w:rPr>
          <w:rFonts w:cstheme="minorHAnsi"/>
          <w:sz w:val="24"/>
          <w:szCs w:val="24"/>
        </w:rPr>
        <w:t xml:space="preserve"> </w:t>
      </w:r>
      <w:r w:rsidR="00AA2263" w:rsidRPr="00CA4DA0">
        <w:rPr>
          <w:rFonts w:cstheme="minorHAnsi"/>
          <w:sz w:val="24"/>
          <w:szCs w:val="24"/>
        </w:rPr>
        <w:t xml:space="preserve">in April </w:t>
      </w:r>
      <w:r w:rsidR="007A1E58" w:rsidRPr="00CA4DA0">
        <w:rPr>
          <w:rFonts w:cstheme="minorHAnsi"/>
          <w:sz w:val="24"/>
          <w:szCs w:val="24"/>
        </w:rPr>
        <w:t>to i</w:t>
      </w:r>
      <w:r w:rsidR="00A0344D">
        <w:rPr>
          <w:rFonts w:cstheme="minorHAnsi"/>
          <w:sz w:val="24"/>
          <w:szCs w:val="24"/>
        </w:rPr>
        <w:t>ts lowest level ever recorded,</w:t>
      </w:r>
      <w:r w:rsidR="007A1E58" w:rsidRPr="00CA4DA0">
        <w:rPr>
          <w:rFonts w:cstheme="minorHAnsi"/>
          <w:sz w:val="24"/>
          <w:szCs w:val="24"/>
        </w:rPr>
        <w:t xml:space="preserve"> 51.</w:t>
      </w:r>
      <w:r w:rsidRPr="00CA4DA0">
        <w:rPr>
          <w:rFonts w:cstheme="minorHAnsi"/>
          <w:sz w:val="24"/>
          <w:szCs w:val="24"/>
        </w:rPr>
        <w:t>3</w:t>
      </w:r>
      <w:r w:rsidR="00C27136" w:rsidRPr="00CA4DA0">
        <w:rPr>
          <w:rFonts w:cstheme="minorHAnsi"/>
          <w:sz w:val="24"/>
          <w:szCs w:val="24"/>
        </w:rPr>
        <w:t>%</w:t>
      </w:r>
      <w:r w:rsidR="007A3C6B" w:rsidRPr="00CA4DA0">
        <w:rPr>
          <w:rFonts w:cstheme="minorHAnsi"/>
          <w:sz w:val="24"/>
          <w:szCs w:val="24"/>
        </w:rPr>
        <w:t xml:space="preserve"> </w:t>
      </w:r>
      <w:r w:rsidR="007A1E58" w:rsidRPr="00CA4DA0">
        <w:rPr>
          <w:rFonts w:cstheme="minorHAnsi"/>
          <w:sz w:val="24"/>
          <w:szCs w:val="24"/>
        </w:rPr>
        <w:t>of the civilian population available for work actually employed.</w:t>
      </w:r>
      <w:r w:rsidR="00E05FAD" w:rsidRPr="00CA4DA0">
        <w:rPr>
          <w:rFonts w:cstheme="minorHAnsi"/>
          <w:sz w:val="24"/>
          <w:szCs w:val="24"/>
        </w:rPr>
        <w:t xml:space="preserve"> </w:t>
      </w:r>
      <w:r w:rsidR="007A1E58" w:rsidRPr="00CA4DA0">
        <w:rPr>
          <w:rFonts w:cstheme="minorHAnsi"/>
          <w:sz w:val="24"/>
          <w:szCs w:val="24"/>
        </w:rPr>
        <w:t xml:space="preserve">Similarly, the capacity utilization rate fell to </w:t>
      </w:r>
      <w:r w:rsidR="00D22E13" w:rsidRPr="00CA4DA0">
        <w:rPr>
          <w:rFonts w:cstheme="minorHAnsi"/>
          <w:sz w:val="24"/>
          <w:szCs w:val="24"/>
        </w:rPr>
        <w:t>6</w:t>
      </w:r>
      <w:r w:rsidRPr="00CA4DA0">
        <w:rPr>
          <w:rFonts w:cstheme="minorHAnsi"/>
          <w:sz w:val="24"/>
          <w:szCs w:val="24"/>
        </w:rPr>
        <w:t>5</w:t>
      </w:r>
      <w:r w:rsidR="00CA30EC" w:rsidRPr="00CA4DA0">
        <w:rPr>
          <w:rFonts w:cstheme="minorHAnsi"/>
          <w:sz w:val="24"/>
          <w:szCs w:val="24"/>
        </w:rPr>
        <w:t>.</w:t>
      </w:r>
      <w:r w:rsidRPr="00CA4DA0">
        <w:rPr>
          <w:rFonts w:cstheme="minorHAnsi"/>
          <w:sz w:val="24"/>
          <w:szCs w:val="24"/>
        </w:rPr>
        <w:t>6</w:t>
      </w:r>
      <w:r w:rsidR="00C27136" w:rsidRPr="00CA4DA0">
        <w:rPr>
          <w:rFonts w:cstheme="minorHAnsi"/>
          <w:sz w:val="24"/>
          <w:szCs w:val="24"/>
        </w:rPr>
        <w:t>%</w:t>
      </w:r>
      <w:r w:rsidR="00CA30EC" w:rsidRPr="00CA4DA0">
        <w:rPr>
          <w:rFonts w:cstheme="minorHAnsi"/>
          <w:sz w:val="24"/>
          <w:szCs w:val="24"/>
        </w:rPr>
        <w:t xml:space="preserve">, </w:t>
      </w:r>
      <w:r w:rsidR="007A1E58" w:rsidRPr="00CA4DA0">
        <w:rPr>
          <w:rFonts w:cstheme="minorHAnsi"/>
          <w:sz w:val="24"/>
          <w:szCs w:val="24"/>
        </w:rPr>
        <w:t>its lowest level ever rec</w:t>
      </w:r>
      <w:r w:rsidR="00BB6982" w:rsidRPr="00CA4DA0">
        <w:rPr>
          <w:rFonts w:cstheme="minorHAnsi"/>
          <w:sz w:val="24"/>
          <w:szCs w:val="24"/>
        </w:rPr>
        <w:t xml:space="preserve">orded since data </w:t>
      </w:r>
      <w:r w:rsidR="001F7A73">
        <w:rPr>
          <w:rFonts w:cstheme="minorHAnsi"/>
          <w:sz w:val="24"/>
          <w:szCs w:val="24"/>
        </w:rPr>
        <w:t>became</w:t>
      </w:r>
      <w:r w:rsidR="00BB6982" w:rsidRPr="00CA4DA0">
        <w:rPr>
          <w:rFonts w:cstheme="minorHAnsi"/>
          <w:sz w:val="24"/>
          <w:szCs w:val="24"/>
        </w:rPr>
        <w:t xml:space="preserve"> available. </w:t>
      </w:r>
      <w:r w:rsidR="0093085F" w:rsidRPr="00CA4DA0">
        <w:rPr>
          <w:rFonts w:cstheme="minorHAnsi"/>
          <w:sz w:val="24"/>
          <w:szCs w:val="24"/>
        </w:rPr>
        <w:t>The sharp drop in economic activity, driven by a large decline in private domestic consumption, led to a sharp decline in core inflation</w:t>
      </w:r>
      <w:r w:rsidR="00BA39CC" w:rsidRPr="00CA4DA0">
        <w:rPr>
          <w:rFonts w:cstheme="minorHAnsi"/>
          <w:sz w:val="24"/>
          <w:szCs w:val="24"/>
        </w:rPr>
        <w:t>,</w:t>
      </w:r>
      <w:r w:rsidR="0093085F" w:rsidRPr="00CA4DA0">
        <w:rPr>
          <w:rFonts w:cstheme="minorHAnsi"/>
          <w:sz w:val="24"/>
          <w:szCs w:val="24"/>
        </w:rPr>
        <w:t xml:space="preserve"> well below the implicit 2</w:t>
      </w:r>
      <w:r w:rsidR="00C27136" w:rsidRPr="00CA4DA0">
        <w:rPr>
          <w:rFonts w:cstheme="minorHAnsi"/>
          <w:sz w:val="24"/>
          <w:szCs w:val="24"/>
        </w:rPr>
        <w:t>%</w:t>
      </w:r>
      <w:r w:rsidR="007A3C6B" w:rsidRPr="00CA4DA0">
        <w:rPr>
          <w:rFonts w:cstheme="minorHAnsi"/>
          <w:sz w:val="24"/>
          <w:szCs w:val="24"/>
        </w:rPr>
        <w:t xml:space="preserve"> </w:t>
      </w:r>
      <w:r w:rsidR="0093085F" w:rsidRPr="00CA4DA0">
        <w:rPr>
          <w:rFonts w:cstheme="minorHAnsi"/>
          <w:sz w:val="24"/>
          <w:szCs w:val="24"/>
        </w:rPr>
        <w:t xml:space="preserve">inflation target of the Fed. </w:t>
      </w:r>
      <w:r w:rsidR="00BB6982" w:rsidRPr="00CA4DA0">
        <w:rPr>
          <w:rFonts w:cstheme="minorHAnsi"/>
          <w:sz w:val="24"/>
          <w:szCs w:val="24"/>
        </w:rPr>
        <w:t xml:space="preserve">While the economy has recovered somewhat since the middle of 2020, </w:t>
      </w:r>
      <w:r w:rsidR="00CA4103" w:rsidRPr="00CA4DA0">
        <w:rPr>
          <w:rFonts w:cstheme="minorHAnsi"/>
          <w:sz w:val="24"/>
          <w:szCs w:val="24"/>
        </w:rPr>
        <w:t>millions</w:t>
      </w:r>
      <w:r w:rsidR="00BB6982" w:rsidRPr="00CA4DA0">
        <w:rPr>
          <w:rFonts w:cstheme="minorHAnsi"/>
          <w:sz w:val="24"/>
          <w:szCs w:val="24"/>
        </w:rPr>
        <w:t xml:space="preserve"> of job</w:t>
      </w:r>
      <w:r w:rsidR="0056474B" w:rsidRPr="00CA4DA0">
        <w:rPr>
          <w:rFonts w:cstheme="minorHAnsi"/>
          <w:sz w:val="24"/>
          <w:szCs w:val="24"/>
        </w:rPr>
        <w:t>s</w:t>
      </w:r>
      <w:r w:rsidR="00BB6982" w:rsidRPr="00CA4DA0">
        <w:rPr>
          <w:rFonts w:cstheme="minorHAnsi"/>
          <w:sz w:val="24"/>
          <w:szCs w:val="24"/>
        </w:rPr>
        <w:t xml:space="preserve"> los</w:t>
      </w:r>
      <w:r w:rsidR="0056474B" w:rsidRPr="00CA4DA0">
        <w:rPr>
          <w:rFonts w:cstheme="minorHAnsi"/>
          <w:sz w:val="24"/>
          <w:szCs w:val="24"/>
        </w:rPr>
        <w:t>t</w:t>
      </w:r>
      <w:r w:rsidR="00BB6982" w:rsidRPr="00CA4DA0">
        <w:rPr>
          <w:rFonts w:cstheme="minorHAnsi"/>
          <w:sz w:val="24"/>
          <w:szCs w:val="24"/>
        </w:rPr>
        <w:t xml:space="preserve"> </w:t>
      </w:r>
      <w:r w:rsidR="00F232F3">
        <w:rPr>
          <w:rFonts w:cstheme="minorHAnsi"/>
          <w:sz w:val="24"/>
          <w:szCs w:val="24"/>
        </w:rPr>
        <w:t xml:space="preserve">to the pandemic </w:t>
      </w:r>
      <w:r w:rsidR="00BB6982" w:rsidRPr="00CA4DA0">
        <w:rPr>
          <w:rFonts w:cstheme="minorHAnsi"/>
          <w:sz w:val="24"/>
          <w:szCs w:val="24"/>
        </w:rPr>
        <w:t xml:space="preserve">have </w:t>
      </w:r>
      <w:r w:rsidR="00F232F3">
        <w:rPr>
          <w:rFonts w:cstheme="minorHAnsi"/>
          <w:sz w:val="24"/>
          <w:szCs w:val="24"/>
        </w:rPr>
        <w:t>yet to</w:t>
      </w:r>
      <w:r w:rsidR="00BB6982" w:rsidRPr="00CA4DA0">
        <w:rPr>
          <w:rFonts w:cstheme="minorHAnsi"/>
          <w:sz w:val="24"/>
          <w:szCs w:val="24"/>
        </w:rPr>
        <w:t xml:space="preserve"> be recovered. </w:t>
      </w:r>
      <w:r w:rsidR="00787F6E" w:rsidRPr="00CA4DA0">
        <w:rPr>
          <w:rFonts w:cstheme="minorHAnsi"/>
          <w:sz w:val="24"/>
          <w:szCs w:val="24"/>
        </w:rPr>
        <w:t xml:space="preserve">Given </w:t>
      </w:r>
      <w:r w:rsidR="00235076" w:rsidRPr="00CA4DA0">
        <w:rPr>
          <w:rFonts w:cstheme="minorHAnsi"/>
          <w:sz w:val="24"/>
          <w:szCs w:val="24"/>
        </w:rPr>
        <w:t>the</w:t>
      </w:r>
      <w:r w:rsidR="00787F6E" w:rsidRPr="00CA4DA0">
        <w:rPr>
          <w:rFonts w:cstheme="minorHAnsi"/>
          <w:sz w:val="24"/>
          <w:szCs w:val="24"/>
        </w:rPr>
        <w:t xml:space="preserve"> </w:t>
      </w:r>
      <w:r w:rsidR="00235076" w:rsidRPr="00CA4DA0">
        <w:rPr>
          <w:rFonts w:cstheme="minorHAnsi"/>
          <w:sz w:val="24"/>
          <w:szCs w:val="24"/>
        </w:rPr>
        <w:t>worsening</w:t>
      </w:r>
      <w:r w:rsidR="00787F6E" w:rsidRPr="00CA4DA0">
        <w:rPr>
          <w:rFonts w:cstheme="minorHAnsi"/>
          <w:sz w:val="24"/>
          <w:szCs w:val="24"/>
        </w:rPr>
        <w:t xml:space="preserve"> economic situation</w:t>
      </w:r>
      <w:r w:rsidR="0056474B" w:rsidRPr="00CA4DA0">
        <w:rPr>
          <w:rFonts w:cstheme="minorHAnsi"/>
          <w:sz w:val="24"/>
          <w:szCs w:val="24"/>
        </w:rPr>
        <w:t xml:space="preserve"> and the slow recovery</w:t>
      </w:r>
      <w:r w:rsidR="00233A68" w:rsidRPr="00CA4DA0">
        <w:rPr>
          <w:rFonts w:cstheme="minorHAnsi"/>
          <w:sz w:val="24"/>
          <w:szCs w:val="24"/>
        </w:rPr>
        <w:t xml:space="preserve">, </w:t>
      </w:r>
      <w:r w:rsidR="00CA4103" w:rsidRPr="00CA4DA0">
        <w:rPr>
          <w:rFonts w:cstheme="minorHAnsi"/>
          <w:sz w:val="24"/>
          <w:szCs w:val="24"/>
        </w:rPr>
        <w:t>it is</w:t>
      </w:r>
      <w:r w:rsidR="00787F6E" w:rsidRPr="00CA4DA0">
        <w:rPr>
          <w:rFonts w:cstheme="minorHAnsi"/>
          <w:sz w:val="24"/>
          <w:szCs w:val="24"/>
        </w:rPr>
        <w:t xml:space="preserve"> easy to understand why </w:t>
      </w:r>
      <w:r w:rsidR="00CA30EC" w:rsidRPr="00CA4DA0">
        <w:rPr>
          <w:rFonts w:cstheme="minorHAnsi"/>
          <w:sz w:val="24"/>
          <w:szCs w:val="24"/>
        </w:rPr>
        <w:t>the FFR has fallen sharply</w:t>
      </w:r>
      <w:r w:rsidR="0056474B" w:rsidRPr="00CA4DA0">
        <w:rPr>
          <w:rFonts w:cstheme="minorHAnsi"/>
          <w:sz w:val="24"/>
          <w:szCs w:val="24"/>
        </w:rPr>
        <w:t xml:space="preserve"> and has stayed low,</w:t>
      </w:r>
      <w:r w:rsidR="00CA30EC" w:rsidRPr="00CA4DA0">
        <w:rPr>
          <w:rFonts w:cstheme="minorHAnsi"/>
          <w:sz w:val="24"/>
          <w:szCs w:val="24"/>
        </w:rPr>
        <w:t xml:space="preserve"> with short-term rate</w:t>
      </w:r>
      <w:r w:rsidR="007A3C6B" w:rsidRPr="00CA4DA0">
        <w:rPr>
          <w:rFonts w:cstheme="minorHAnsi"/>
          <w:sz w:val="24"/>
          <w:szCs w:val="24"/>
        </w:rPr>
        <w:t>s</w:t>
      </w:r>
      <w:r w:rsidR="00CA30EC" w:rsidRPr="00CA4DA0">
        <w:rPr>
          <w:rFonts w:cstheme="minorHAnsi"/>
          <w:sz w:val="24"/>
          <w:szCs w:val="24"/>
        </w:rPr>
        <w:t xml:space="preserve"> matching the same trend</w:t>
      </w:r>
      <w:r w:rsidR="00787F6E" w:rsidRPr="00CA4DA0">
        <w:rPr>
          <w:rFonts w:cstheme="minorHAnsi"/>
          <w:sz w:val="24"/>
          <w:szCs w:val="24"/>
        </w:rPr>
        <w:t>. However, long-term rate</w:t>
      </w:r>
      <w:r w:rsidR="007206C0" w:rsidRPr="00CA4DA0">
        <w:rPr>
          <w:rFonts w:cstheme="minorHAnsi"/>
          <w:sz w:val="24"/>
          <w:szCs w:val="24"/>
        </w:rPr>
        <w:t>s</w:t>
      </w:r>
      <w:r w:rsidR="00787F6E" w:rsidRPr="00CA4DA0">
        <w:rPr>
          <w:rFonts w:cstheme="minorHAnsi"/>
          <w:sz w:val="24"/>
          <w:szCs w:val="24"/>
        </w:rPr>
        <w:t xml:space="preserve"> also </w:t>
      </w:r>
      <w:r w:rsidR="00F232F3">
        <w:rPr>
          <w:rFonts w:cstheme="minorHAnsi"/>
          <w:sz w:val="24"/>
          <w:szCs w:val="24"/>
        </w:rPr>
        <w:t>fell</w:t>
      </w:r>
      <w:r w:rsidR="00787F6E" w:rsidRPr="00CA4DA0">
        <w:rPr>
          <w:rFonts w:cstheme="minorHAnsi"/>
          <w:sz w:val="24"/>
          <w:szCs w:val="24"/>
        </w:rPr>
        <w:t xml:space="preserve"> sharply</w:t>
      </w:r>
      <w:r w:rsidR="00233A68" w:rsidRPr="00CA4DA0">
        <w:rPr>
          <w:rFonts w:cstheme="minorHAnsi"/>
          <w:sz w:val="24"/>
          <w:szCs w:val="24"/>
        </w:rPr>
        <w:t>,</w:t>
      </w:r>
      <w:r w:rsidR="00787F6E" w:rsidRPr="00CA4DA0">
        <w:rPr>
          <w:rFonts w:cstheme="minorHAnsi"/>
          <w:sz w:val="24"/>
          <w:szCs w:val="24"/>
        </w:rPr>
        <w:t xml:space="preserve"> reflecting expectation</w:t>
      </w:r>
      <w:r w:rsidR="00235076" w:rsidRPr="00CA4DA0">
        <w:rPr>
          <w:rFonts w:cstheme="minorHAnsi"/>
          <w:sz w:val="24"/>
          <w:szCs w:val="24"/>
        </w:rPr>
        <w:t>s</w:t>
      </w:r>
      <w:r w:rsidR="00787F6E" w:rsidRPr="00CA4DA0">
        <w:rPr>
          <w:rFonts w:cstheme="minorHAnsi"/>
          <w:sz w:val="24"/>
          <w:szCs w:val="24"/>
        </w:rPr>
        <w:t xml:space="preserve"> among market participants that the FFR will stay low </w:t>
      </w:r>
      <w:r w:rsidR="00AA2263" w:rsidRPr="00CA4DA0">
        <w:rPr>
          <w:rFonts w:cstheme="minorHAnsi"/>
          <w:sz w:val="24"/>
          <w:szCs w:val="24"/>
        </w:rPr>
        <w:t xml:space="preserve">in the upcoming </w:t>
      </w:r>
      <w:r w:rsidR="003430AF" w:rsidRPr="00CA4DA0">
        <w:rPr>
          <w:rFonts w:cstheme="minorHAnsi"/>
          <w:sz w:val="24"/>
          <w:szCs w:val="24"/>
        </w:rPr>
        <w:t>years</w:t>
      </w:r>
      <w:r w:rsidR="0093085F" w:rsidRPr="00CA4DA0">
        <w:rPr>
          <w:rFonts w:cstheme="minorHAnsi"/>
          <w:sz w:val="24"/>
          <w:szCs w:val="24"/>
        </w:rPr>
        <w:t xml:space="preserve">. </w:t>
      </w:r>
    </w:p>
    <w:p w14:paraId="6F7DF224" w14:textId="77777777" w:rsidR="00F12531" w:rsidRPr="00CA4DA0" w:rsidRDefault="004239F9" w:rsidP="004239F9">
      <w:pPr>
        <w:jc w:val="center"/>
        <w:rPr>
          <w:rFonts w:cstheme="minorHAnsi"/>
          <w:sz w:val="24"/>
          <w:szCs w:val="24"/>
        </w:rPr>
      </w:pPr>
      <w:r w:rsidRPr="00CA4DA0">
        <w:rPr>
          <w:rFonts w:cstheme="minorHAnsi"/>
          <w:sz w:val="24"/>
          <w:szCs w:val="24"/>
        </w:rPr>
        <w:t>TABLE 1 HERE</w:t>
      </w:r>
    </w:p>
    <w:p w14:paraId="3DD0203C" w14:textId="35CCA0B3" w:rsidR="0008514F" w:rsidRPr="00CA4DA0" w:rsidRDefault="004C6A96" w:rsidP="00F232F3">
      <w:pPr>
        <w:ind w:firstLine="720"/>
        <w:rPr>
          <w:rFonts w:cstheme="minorHAnsi"/>
          <w:sz w:val="24"/>
          <w:szCs w:val="24"/>
        </w:rPr>
      </w:pPr>
      <w:r w:rsidRPr="00CA4DA0">
        <w:rPr>
          <w:rFonts w:cstheme="minorHAnsi"/>
          <w:sz w:val="24"/>
          <w:szCs w:val="24"/>
        </w:rPr>
        <w:t xml:space="preserve">While </w:t>
      </w:r>
      <w:r w:rsidR="00233A68" w:rsidRPr="00CA4DA0">
        <w:rPr>
          <w:rFonts w:cstheme="minorHAnsi"/>
          <w:sz w:val="24"/>
          <w:szCs w:val="24"/>
        </w:rPr>
        <w:t>C</w:t>
      </w:r>
      <w:r w:rsidRPr="00CA4DA0">
        <w:rPr>
          <w:rFonts w:cstheme="minorHAnsi"/>
          <w:sz w:val="24"/>
          <w:szCs w:val="24"/>
        </w:rPr>
        <w:t xml:space="preserve">ovid-19 related economic events </w:t>
      </w:r>
      <w:r w:rsidR="00FE2D07">
        <w:rPr>
          <w:rFonts w:cstheme="minorHAnsi"/>
          <w:sz w:val="24"/>
          <w:szCs w:val="24"/>
        </w:rPr>
        <w:t>explain the</w:t>
      </w:r>
      <w:r w:rsidRPr="00CA4DA0">
        <w:rPr>
          <w:rFonts w:cstheme="minorHAnsi"/>
          <w:sz w:val="24"/>
          <w:szCs w:val="24"/>
        </w:rPr>
        <w:t xml:space="preserve"> </w:t>
      </w:r>
      <w:r w:rsidR="007A3C6B" w:rsidRPr="00CA4DA0">
        <w:rPr>
          <w:rFonts w:cstheme="minorHAnsi"/>
          <w:sz w:val="24"/>
          <w:szCs w:val="24"/>
        </w:rPr>
        <w:t>short</w:t>
      </w:r>
      <w:r w:rsidRPr="00CA4DA0">
        <w:rPr>
          <w:rFonts w:cstheme="minorHAnsi"/>
          <w:sz w:val="24"/>
          <w:szCs w:val="24"/>
        </w:rPr>
        <w:t xml:space="preserve"> </w:t>
      </w:r>
      <w:r w:rsidR="001E71FF" w:rsidRPr="00CA4DA0">
        <w:rPr>
          <w:rFonts w:cstheme="minorHAnsi"/>
          <w:sz w:val="24"/>
          <w:szCs w:val="24"/>
        </w:rPr>
        <w:t xml:space="preserve">to medium-term </w:t>
      </w:r>
      <w:r w:rsidRPr="00CA4DA0">
        <w:rPr>
          <w:rFonts w:cstheme="minorHAnsi"/>
          <w:sz w:val="24"/>
          <w:szCs w:val="24"/>
        </w:rPr>
        <w:t xml:space="preserve">interest rate dynamics, </w:t>
      </w:r>
      <w:r w:rsidR="005F4AEC" w:rsidRPr="00CA4DA0">
        <w:rPr>
          <w:rFonts w:cstheme="minorHAnsi"/>
          <w:sz w:val="24"/>
          <w:szCs w:val="24"/>
        </w:rPr>
        <w:t>Figure 1</w:t>
      </w:r>
      <w:r w:rsidR="00233A68" w:rsidRPr="00CA4DA0">
        <w:rPr>
          <w:rFonts w:cstheme="minorHAnsi"/>
          <w:sz w:val="24"/>
          <w:szCs w:val="24"/>
        </w:rPr>
        <w:t xml:space="preserve"> </w:t>
      </w:r>
      <w:r w:rsidRPr="00CA4DA0">
        <w:rPr>
          <w:rFonts w:cstheme="minorHAnsi"/>
          <w:sz w:val="24"/>
          <w:szCs w:val="24"/>
        </w:rPr>
        <w:t>points to a long-term downward trend</w:t>
      </w:r>
      <w:r w:rsidR="00DE6903" w:rsidRPr="00CA4DA0">
        <w:rPr>
          <w:rFonts w:cstheme="minorHAnsi"/>
          <w:sz w:val="24"/>
          <w:szCs w:val="24"/>
        </w:rPr>
        <w:t>.</w:t>
      </w:r>
      <w:r w:rsidR="00D22E13" w:rsidRPr="00CA4DA0">
        <w:rPr>
          <w:rFonts w:cstheme="minorHAnsi"/>
          <w:sz w:val="24"/>
          <w:szCs w:val="24"/>
        </w:rPr>
        <w:t xml:space="preserve"> This trend </w:t>
      </w:r>
      <w:r w:rsidR="004A1014" w:rsidRPr="00CA4DA0">
        <w:rPr>
          <w:rFonts w:cstheme="minorHAnsi"/>
          <w:sz w:val="24"/>
          <w:szCs w:val="24"/>
        </w:rPr>
        <w:t>is</w:t>
      </w:r>
      <w:r w:rsidR="00D22E13" w:rsidRPr="00CA4DA0">
        <w:rPr>
          <w:rFonts w:cstheme="minorHAnsi"/>
          <w:sz w:val="24"/>
          <w:szCs w:val="24"/>
        </w:rPr>
        <w:t xml:space="preserve"> explained by structural changes that have led to a slower and more unstable </w:t>
      </w:r>
      <w:r w:rsidR="004A1014" w:rsidRPr="00CA4DA0">
        <w:rPr>
          <w:rFonts w:cstheme="minorHAnsi"/>
          <w:sz w:val="24"/>
          <w:szCs w:val="24"/>
        </w:rPr>
        <w:t>U</w:t>
      </w:r>
      <w:r w:rsidR="00233A68" w:rsidRPr="00CA4DA0">
        <w:rPr>
          <w:rFonts w:cstheme="minorHAnsi"/>
          <w:sz w:val="24"/>
          <w:szCs w:val="24"/>
        </w:rPr>
        <w:t>.</w:t>
      </w:r>
      <w:r w:rsidR="004A1014" w:rsidRPr="00CA4DA0">
        <w:rPr>
          <w:rFonts w:cstheme="minorHAnsi"/>
          <w:sz w:val="24"/>
          <w:szCs w:val="24"/>
        </w:rPr>
        <w:t>S</w:t>
      </w:r>
      <w:r w:rsidR="00233A68" w:rsidRPr="00CA4DA0">
        <w:rPr>
          <w:rFonts w:cstheme="minorHAnsi"/>
          <w:sz w:val="24"/>
          <w:szCs w:val="24"/>
        </w:rPr>
        <w:t>.</w:t>
      </w:r>
      <w:r w:rsidR="004A1014" w:rsidRPr="00CA4DA0">
        <w:rPr>
          <w:rFonts w:cstheme="minorHAnsi"/>
          <w:sz w:val="24"/>
          <w:szCs w:val="24"/>
        </w:rPr>
        <w:t xml:space="preserve"> </w:t>
      </w:r>
      <w:r w:rsidR="00D22E13" w:rsidRPr="00CA4DA0">
        <w:rPr>
          <w:rFonts w:cstheme="minorHAnsi"/>
          <w:sz w:val="24"/>
          <w:szCs w:val="24"/>
        </w:rPr>
        <w:t>economy.</w:t>
      </w:r>
      <w:r w:rsidR="00DE6903" w:rsidRPr="00CA4DA0">
        <w:rPr>
          <w:rFonts w:cstheme="minorHAnsi"/>
          <w:sz w:val="24"/>
          <w:szCs w:val="24"/>
        </w:rPr>
        <w:t xml:space="preserve"> </w:t>
      </w:r>
      <w:r w:rsidR="00D22E13" w:rsidRPr="00CA4DA0">
        <w:rPr>
          <w:rFonts w:cstheme="minorHAnsi"/>
          <w:sz w:val="24"/>
          <w:szCs w:val="24"/>
        </w:rPr>
        <w:t xml:space="preserve">Decline in the tax burden on the wealthier </w:t>
      </w:r>
      <w:r w:rsidR="00810FCB" w:rsidRPr="00CA4DA0">
        <w:rPr>
          <w:rFonts w:cstheme="minorHAnsi"/>
          <w:sz w:val="24"/>
          <w:szCs w:val="24"/>
        </w:rPr>
        <w:t>households</w:t>
      </w:r>
      <w:r w:rsidR="00D22E13" w:rsidRPr="00CA4DA0">
        <w:rPr>
          <w:rFonts w:cstheme="minorHAnsi"/>
          <w:sz w:val="24"/>
          <w:szCs w:val="24"/>
        </w:rPr>
        <w:t>, deregulation</w:t>
      </w:r>
      <w:r w:rsidR="007A3C6B" w:rsidRPr="00CA4DA0">
        <w:rPr>
          <w:rFonts w:cstheme="minorHAnsi"/>
          <w:sz w:val="24"/>
          <w:szCs w:val="24"/>
        </w:rPr>
        <w:t xml:space="preserve"> and </w:t>
      </w:r>
      <w:r w:rsidR="00AA2263" w:rsidRPr="00CA4DA0">
        <w:rPr>
          <w:rFonts w:cstheme="minorHAnsi"/>
          <w:sz w:val="24"/>
          <w:szCs w:val="24"/>
        </w:rPr>
        <w:t>lax enforcement</w:t>
      </w:r>
      <w:r w:rsidR="00D22E13" w:rsidRPr="00CA4DA0">
        <w:rPr>
          <w:rFonts w:cstheme="minorHAnsi"/>
          <w:sz w:val="24"/>
          <w:szCs w:val="24"/>
        </w:rPr>
        <w:t>,</w:t>
      </w:r>
      <w:r w:rsidR="007A3C6B" w:rsidRPr="00CA4DA0">
        <w:rPr>
          <w:rFonts w:cstheme="minorHAnsi"/>
          <w:sz w:val="24"/>
          <w:szCs w:val="24"/>
        </w:rPr>
        <w:t xml:space="preserve"> </w:t>
      </w:r>
      <w:r w:rsidR="00D22E13" w:rsidRPr="00CA4DA0">
        <w:rPr>
          <w:rFonts w:cstheme="minorHAnsi"/>
          <w:sz w:val="24"/>
          <w:szCs w:val="24"/>
        </w:rPr>
        <w:t xml:space="preserve">financialization and </w:t>
      </w:r>
      <w:r w:rsidR="00AE6AAD" w:rsidRPr="00CA4DA0">
        <w:rPr>
          <w:rFonts w:cstheme="minorHAnsi"/>
          <w:sz w:val="24"/>
          <w:szCs w:val="24"/>
        </w:rPr>
        <w:t>globalization</w:t>
      </w:r>
      <w:r w:rsidR="00D22E13" w:rsidRPr="00CA4DA0">
        <w:rPr>
          <w:rFonts w:cstheme="minorHAnsi"/>
          <w:sz w:val="24"/>
          <w:szCs w:val="24"/>
        </w:rPr>
        <w:t xml:space="preserve"> of the economy and the decline in labor protections have </w:t>
      </w:r>
      <w:r w:rsidR="00FA4165" w:rsidRPr="00CA4DA0">
        <w:rPr>
          <w:rFonts w:cstheme="minorHAnsi"/>
          <w:sz w:val="24"/>
          <w:szCs w:val="24"/>
        </w:rPr>
        <w:t>destroyed</w:t>
      </w:r>
      <w:r w:rsidR="00D22E13" w:rsidRPr="00CA4DA0">
        <w:rPr>
          <w:rFonts w:cstheme="minorHAnsi"/>
          <w:sz w:val="24"/>
          <w:szCs w:val="24"/>
        </w:rPr>
        <w:t xml:space="preserve"> shared prosperity</w:t>
      </w:r>
      <w:r w:rsidR="007A3C6B" w:rsidRPr="00CA4DA0">
        <w:rPr>
          <w:rFonts w:cstheme="minorHAnsi"/>
          <w:sz w:val="24"/>
          <w:szCs w:val="24"/>
        </w:rPr>
        <w:t xml:space="preserve">. </w:t>
      </w:r>
      <w:r w:rsidR="00CA4103" w:rsidRPr="00CA4DA0">
        <w:rPr>
          <w:rFonts w:cstheme="minorHAnsi"/>
          <w:sz w:val="24"/>
          <w:szCs w:val="24"/>
        </w:rPr>
        <w:t>They have</w:t>
      </w:r>
      <w:r w:rsidR="007A3C6B" w:rsidRPr="00CA4DA0">
        <w:rPr>
          <w:rFonts w:cstheme="minorHAnsi"/>
          <w:sz w:val="24"/>
          <w:szCs w:val="24"/>
        </w:rPr>
        <w:t xml:space="preserve"> also </w:t>
      </w:r>
      <w:r w:rsidR="00D22E13" w:rsidRPr="00CA4DA0">
        <w:rPr>
          <w:rFonts w:cstheme="minorHAnsi"/>
          <w:sz w:val="24"/>
          <w:szCs w:val="24"/>
        </w:rPr>
        <w:t xml:space="preserve">led to jobless recoveries, lowered inflationary pressures and limited capital investment in the economy. As a consequence, a growing majority of households </w:t>
      </w:r>
      <w:r w:rsidR="00F83E10" w:rsidRPr="00CA4DA0">
        <w:rPr>
          <w:rFonts w:cstheme="minorHAnsi"/>
          <w:sz w:val="24"/>
          <w:szCs w:val="24"/>
        </w:rPr>
        <w:t>is</w:t>
      </w:r>
      <w:r w:rsidR="00233A68" w:rsidRPr="00CA4DA0">
        <w:rPr>
          <w:rFonts w:cstheme="minorHAnsi"/>
          <w:sz w:val="24"/>
          <w:szCs w:val="24"/>
        </w:rPr>
        <w:t xml:space="preserve"> </w:t>
      </w:r>
      <w:r w:rsidR="00F83E10" w:rsidRPr="00CA4DA0">
        <w:rPr>
          <w:rFonts w:cstheme="minorHAnsi"/>
          <w:sz w:val="24"/>
          <w:szCs w:val="24"/>
        </w:rPr>
        <w:t xml:space="preserve">not </w:t>
      </w:r>
      <w:r w:rsidR="00233A68" w:rsidRPr="00CA4DA0">
        <w:rPr>
          <w:rFonts w:cstheme="minorHAnsi"/>
          <w:sz w:val="24"/>
          <w:szCs w:val="24"/>
        </w:rPr>
        <w:t xml:space="preserve">enjoying </w:t>
      </w:r>
      <w:r w:rsidR="00D22E13" w:rsidRPr="00CA4DA0">
        <w:rPr>
          <w:rFonts w:cstheme="minorHAnsi"/>
          <w:sz w:val="24"/>
          <w:szCs w:val="24"/>
        </w:rPr>
        <w:t xml:space="preserve">the fruits </w:t>
      </w:r>
      <w:r w:rsidR="00FE2D07">
        <w:rPr>
          <w:rFonts w:cstheme="minorHAnsi"/>
          <w:sz w:val="24"/>
          <w:szCs w:val="24"/>
        </w:rPr>
        <w:t>of</w:t>
      </w:r>
      <w:r w:rsidR="00F83E10" w:rsidRPr="00CA4DA0">
        <w:rPr>
          <w:rFonts w:cstheme="minorHAnsi"/>
          <w:sz w:val="24"/>
          <w:szCs w:val="24"/>
        </w:rPr>
        <w:t xml:space="preserve"> </w:t>
      </w:r>
      <w:r w:rsidR="00FE2D07">
        <w:rPr>
          <w:rFonts w:cstheme="minorHAnsi"/>
          <w:sz w:val="24"/>
          <w:szCs w:val="24"/>
        </w:rPr>
        <w:t xml:space="preserve">an </w:t>
      </w:r>
      <w:r w:rsidR="00D22E13" w:rsidRPr="00CA4DA0">
        <w:rPr>
          <w:rFonts w:cstheme="minorHAnsi"/>
          <w:sz w:val="24"/>
          <w:szCs w:val="24"/>
        </w:rPr>
        <w:t>economic prosperity</w:t>
      </w:r>
      <w:r w:rsidR="00FE2D07">
        <w:rPr>
          <w:rFonts w:cstheme="minorHAnsi"/>
          <w:sz w:val="24"/>
          <w:szCs w:val="24"/>
        </w:rPr>
        <w:t xml:space="preserve"> that has weakened overtime</w:t>
      </w:r>
      <w:r w:rsidR="00D22E13" w:rsidRPr="00CA4DA0">
        <w:rPr>
          <w:rFonts w:cstheme="minorHAnsi"/>
          <w:sz w:val="24"/>
          <w:szCs w:val="24"/>
        </w:rPr>
        <w:t>.</w:t>
      </w:r>
      <w:r w:rsidR="00810FCB" w:rsidRPr="00CA4DA0">
        <w:rPr>
          <w:rFonts w:cstheme="minorHAnsi"/>
          <w:sz w:val="24"/>
          <w:szCs w:val="24"/>
        </w:rPr>
        <w:t xml:space="preserve"> Given this </w:t>
      </w:r>
      <w:r w:rsidR="00810FCB" w:rsidRPr="00CA4DA0">
        <w:rPr>
          <w:rFonts w:cstheme="minorHAnsi"/>
          <w:sz w:val="24"/>
          <w:szCs w:val="24"/>
        </w:rPr>
        <w:lastRenderedPageBreak/>
        <w:t xml:space="preserve">stagnationist trend, one may expect interest rates to stay low </w:t>
      </w:r>
      <w:r w:rsidR="008C5781" w:rsidRPr="00CA4DA0">
        <w:rPr>
          <w:rFonts w:cstheme="minorHAnsi"/>
          <w:sz w:val="24"/>
          <w:szCs w:val="24"/>
        </w:rPr>
        <w:t>over the upcoming decade</w:t>
      </w:r>
      <w:r w:rsidR="00E20A14" w:rsidRPr="00CA4DA0">
        <w:rPr>
          <w:rFonts w:cstheme="minorHAnsi"/>
          <w:sz w:val="24"/>
          <w:szCs w:val="24"/>
        </w:rPr>
        <w:t xml:space="preserve"> and beyond</w:t>
      </w:r>
      <w:r w:rsidR="00F232F3">
        <w:rPr>
          <w:rFonts w:cstheme="minorHAnsi"/>
          <w:sz w:val="24"/>
          <w:szCs w:val="24"/>
        </w:rPr>
        <w:t xml:space="preserve"> (Table 2).</w:t>
      </w:r>
    </w:p>
    <w:p w14:paraId="747166ED" w14:textId="77777777" w:rsidR="00F12531" w:rsidRPr="00CA4DA0" w:rsidRDefault="004239F9" w:rsidP="004239F9">
      <w:pPr>
        <w:jc w:val="center"/>
        <w:rPr>
          <w:rFonts w:cstheme="minorHAnsi"/>
          <w:sz w:val="24"/>
          <w:szCs w:val="24"/>
        </w:rPr>
      </w:pPr>
      <w:r w:rsidRPr="00CA4DA0">
        <w:rPr>
          <w:rFonts w:cstheme="minorHAnsi"/>
          <w:sz w:val="24"/>
          <w:szCs w:val="24"/>
        </w:rPr>
        <w:t>TABLE 2 HERE</w:t>
      </w:r>
    </w:p>
    <w:p w14:paraId="3D8676BA" w14:textId="3F751772" w:rsidR="004A1596" w:rsidRPr="00CA4DA0" w:rsidRDefault="001E12A4" w:rsidP="003804C3">
      <w:pPr>
        <w:ind w:firstLine="720"/>
        <w:rPr>
          <w:rFonts w:cstheme="minorHAnsi"/>
          <w:sz w:val="24"/>
          <w:szCs w:val="24"/>
        </w:rPr>
      </w:pPr>
      <w:r w:rsidRPr="00CA4DA0">
        <w:rPr>
          <w:rFonts w:cstheme="minorHAnsi"/>
          <w:sz w:val="24"/>
          <w:szCs w:val="24"/>
        </w:rPr>
        <w:t xml:space="preserve">The annual growth rate of real </w:t>
      </w:r>
      <w:r w:rsidR="00B97FA0" w:rsidRPr="00CA4DA0">
        <w:rPr>
          <w:rFonts w:cstheme="minorHAnsi"/>
          <w:sz w:val="24"/>
          <w:szCs w:val="24"/>
        </w:rPr>
        <w:t>gross national product</w:t>
      </w:r>
      <w:r w:rsidR="00E20A14" w:rsidRPr="00CA4DA0">
        <w:rPr>
          <w:rFonts w:cstheme="minorHAnsi"/>
          <w:sz w:val="24"/>
          <w:szCs w:val="24"/>
        </w:rPr>
        <w:t xml:space="preserve"> </w:t>
      </w:r>
      <w:r w:rsidRPr="00CA4DA0">
        <w:rPr>
          <w:rFonts w:cstheme="minorHAnsi"/>
          <w:sz w:val="24"/>
          <w:szCs w:val="24"/>
        </w:rPr>
        <w:t>per capita has slowed to 2</w:t>
      </w:r>
      <w:r w:rsidR="00EB3022" w:rsidRPr="00CA4DA0">
        <w:rPr>
          <w:rFonts w:cstheme="minorHAnsi"/>
          <w:sz w:val="24"/>
          <w:szCs w:val="24"/>
        </w:rPr>
        <w:t>%</w:t>
      </w:r>
      <w:r w:rsidR="007A3C6B" w:rsidRPr="00CA4DA0">
        <w:rPr>
          <w:rFonts w:cstheme="minorHAnsi"/>
          <w:sz w:val="24"/>
          <w:szCs w:val="24"/>
        </w:rPr>
        <w:t xml:space="preserve"> percent</w:t>
      </w:r>
      <w:r w:rsidRPr="00CA4DA0">
        <w:rPr>
          <w:rFonts w:cstheme="minorHAnsi"/>
          <w:sz w:val="24"/>
          <w:szCs w:val="24"/>
        </w:rPr>
        <w:t xml:space="preserve"> or less since the 1990s</w:t>
      </w:r>
      <w:r w:rsidR="007B6D79" w:rsidRPr="00CA4DA0">
        <w:rPr>
          <w:rFonts w:cstheme="minorHAnsi"/>
          <w:sz w:val="24"/>
          <w:szCs w:val="24"/>
        </w:rPr>
        <w:t>. At the same time, income and wealth inequalities have soared</w:t>
      </w:r>
      <w:r w:rsidR="006E1D7B" w:rsidRPr="00CA4DA0">
        <w:rPr>
          <w:rFonts w:cstheme="minorHAnsi"/>
          <w:sz w:val="24"/>
          <w:szCs w:val="24"/>
        </w:rPr>
        <w:t xml:space="preserve"> with the top 1</w:t>
      </w:r>
      <w:r w:rsidR="00EB3022" w:rsidRPr="00CA4DA0">
        <w:rPr>
          <w:rFonts w:cstheme="minorHAnsi"/>
          <w:sz w:val="24"/>
          <w:szCs w:val="24"/>
        </w:rPr>
        <w:t>%</w:t>
      </w:r>
      <w:r w:rsidR="007A3C6B" w:rsidRPr="00CA4DA0">
        <w:rPr>
          <w:rFonts w:cstheme="minorHAnsi"/>
          <w:sz w:val="24"/>
          <w:szCs w:val="24"/>
        </w:rPr>
        <w:t xml:space="preserve"> </w:t>
      </w:r>
      <w:r w:rsidR="006E1D7B" w:rsidRPr="00CA4DA0">
        <w:rPr>
          <w:rFonts w:cstheme="minorHAnsi"/>
          <w:sz w:val="24"/>
          <w:szCs w:val="24"/>
        </w:rPr>
        <w:t xml:space="preserve">of the population recording </w:t>
      </w:r>
      <w:r w:rsidR="00EB3022" w:rsidRPr="00CA4DA0">
        <w:rPr>
          <w:rFonts w:cstheme="minorHAnsi"/>
          <w:sz w:val="24"/>
          <w:szCs w:val="24"/>
        </w:rPr>
        <w:t xml:space="preserve">a </w:t>
      </w:r>
      <w:r w:rsidR="006E1D7B" w:rsidRPr="00CA4DA0">
        <w:rPr>
          <w:rFonts w:cstheme="minorHAnsi"/>
          <w:sz w:val="24"/>
          <w:szCs w:val="24"/>
        </w:rPr>
        <w:t>large increase in their share of income and wealth</w:t>
      </w:r>
      <w:r w:rsidR="00BF5047" w:rsidRPr="00CA4DA0">
        <w:rPr>
          <w:rFonts w:cstheme="minorHAnsi"/>
          <w:sz w:val="24"/>
          <w:szCs w:val="24"/>
        </w:rPr>
        <w:t xml:space="preserve"> to the detriment of the rest of the population</w:t>
      </w:r>
      <w:r w:rsidR="006E1D7B" w:rsidRPr="00CA4DA0">
        <w:rPr>
          <w:rFonts w:cstheme="minorHAnsi"/>
          <w:sz w:val="24"/>
          <w:szCs w:val="24"/>
        </w:rPr>
        <w:t xml:space="preserve">. </w:t>
      </w:r>
      <w:r w:rsidR="00BF5047" w:rsidRPr="00CA4DA0">
        <w:rPr>
          <w:rFonts w:cstheme="minorHAnsi"/>
          <w:sz w:val="24"/>
          <w:szCs w:val="24"/>
        </w:rPr>
        <w:t>In terms of income, the top 1</w:t>
      </w:r>
      <w:r w:rsidR="002E4447" w:rsidRPr="00CA4DA0">
        <w:rPr>
          <w:rFonts w:cstheme="minorHAnsi"/>
          <w:sz w:val="24"/>
          <w:szCs w:val="24"/>
        </w:rPr>
        <w:t>%</w:t>
      </w:r>
      <w:r w:rsidR="007A3C6B" w:rsidRPr="00CA4DA0">
        <w:rPr>
          <w:rFonts w:cstheme="minorHAnsi"/>
          <w:sz w:val="24"/>
          <w:szCs w:val="24"/>
        </w:rPr>
        <w:t xml:space="preserve"> </w:t>
      </w:r>
      <w:r w:rsidR="00BF5047" w:rsidRPr="00CA4DA0">
        <w:rPr>
          <w:rFonts w:cstheme="minorHAnsi"/>
          <w:sz w:val="24"/>
          <w:szCs w:val="24"/>
        </w:rPr>
        <w:t>share grew from about 12</w:t>
      </w:r>
      <w:r w:rsidR="002E4447" w:rsidRPr="00CA4DA0">
        <w:rPr>
          <w:rFonts w:cstheme="minorHAnsi"/>
          <w:sz w:val="24"/>
          <w:szCs w:val="24"/>
        </w:rPr>
        <w:t>%</w:t>
      </w:r>
      <w:r w:rsidR="007A3C6B" w:rsidRPr="00CA4DA0">
        <w:rPr>
          <w:rFonts w:cstheme="minorHAnsi"/>
          <w:sz w:val="24"/>
          <w:szCs w:val="24"/>
        </w:rPr>
        <w:t xml:space="preserve"> of national income </w:t>
      </w:r>
      <w:r w:rsidR="00BF5047" w:rsidRPr="00CA4DA0">
        <w:rPr>
          <w:rFonts w:cstheme="minorHAnsi"/>
          <w:sz w:val="24"/>
          <w:szCs w:val="24"/>
        </w:rPr>
        <w:t>in the late 1960s to about 20</w:t>
      </w:r>
      <w:r w:rsidR="002E4447" w:rsidRPr="00CA4DA0">
        <w:rPr>
          <w:rFonts w:cstheme="minorHAnsi"/>
          <w:sz w:val="24"/>
          <w:szCs w:val="24"/>
        </w:rPr>
        <w:t>%</w:t>
      </w:r>
      <w:r w:rsidR="007A3C6B" w:rsidRPr="00CA4DA0">
        <w:rPr>
          <w:rFonts w:cstheme="minorHAnsi"/>
          <w:sz w:val="24"/>
          <w:szCs w:val="24"/>
        </w:rPr>
        <w:t xml:space="preserve"> </w:t>
      </w:r>
      <w:r w:rsidR="00BF5047" w:rsidRPr="00CA4DA0">
        <w:rPr>
          <w:rFonts w:cstheme="minorHAnsi"/>
          <w:sz w:val="24"/>
          <w:szCs w:val="24"/>
        </w:rPr>
        <w:t>of national income in the 2010s</w:t>
      </w:r>
      <w:r w:rsidR="007A3C6B" w:rsidRPr="00CA4DA0">
        <w:rPr>
          <w:rFonts w:cstheme="minorHAnsi"/>
          <w:sz w:val="24"/>
          <w:szCs w:val="24"/>
        </w:rPr>
        <w:t>. T</w:t>
      </w:r>
      <w:r w:rsidR="00BF5047" w:rsidRPr="00CA4DA0">
        <w:rPr>
          <w:rFonts w:cstheme="minorHAnsi"/>
          <w:sz w:val="24"/>
          <w:szCs w:val="24"/>
        </w:rPr>
        <w:t>his gain came entirely from a loss of income share of the bottom 50</w:t>
      </w:r>
      <w:r w:rsidR="002E4447" w:rsidRPr="00CA4DA0">
        <w:rPr>
          <w:rFonts w:cstheme="minorHAnsi"/>
          <w:sz w:val="24"/>
          <w:szCs w:val="24"/>
        </w:rPr>
        <w:t>%</w:t>
      </w:r>
      <w:r w:rsidR="00BF5047" w:rsidRPr="00CA4DA0">
        <w:rPr>
          <w:rFonts w:cstheme="minorHAnsi"/>
          <w:sz w:val="24"/>
          <w:szCs w:val="24"/>
        </w:rPr>
        <w:t xml:space="preserve"> of the U</w:t>
      </w:r>
      <w:r w:rsidR="002E4447" w:rsidRPr="00CA4DA0">
        <w:rPr>
          <w:rFonts w:cstheme="minorHAnsi"/>
          <w:sz w:val="24"/>
          <w:szCs w:val="24"/>
        </w:rPr>
        <w:t>.</w:t>
      </w:r>
      <w:r w:rsidR="00BF5047" w:rsidRPr="00CA4DA0">
        <w:rPr>
          <w:rFonts w:cstheme="minorHAnsi"/>
          <w:sz w:val="24"/>
          <w:szCs w:val="24"/>
        </w:rPr>
        <w:t>S</w:t>
      </w:r>
      <w:r w:rsidR="002E4447" w:rsidRPr="00CA4DA0">
        <w:rPr>
          <w:rFonts w:cstheme="minorHAnsi"/>
          <w:sz w:val="24"/>
          <w:szCs w:val="24"/>
        </w:rPr>
        <w:t>.</w:t>
      </w:r>
      <w:r w:rsidR="00BF5047" w:rsidRPr="00CA4DA0">
        <w:rPr>
          <w:rFonts w:cstheme="minorHAnsi"/>
          <w:sz w:val="24"/>
          <w:szCs w:val="24"/>
        </w:rPr>
        <w:t xml:space="preserve"> </w:t>
      </w:r>
      <w:r w:rsidR="00B97FA0" w:rsidRPr="00CA4DA0">
        <w:rPr>
          <w:rFonts w:cstheme="minorHAnsi"/>
          <w:sz w:val="24"/>
          <w:szCs w:val="24"/>
        </w:rPr>
        <w:t>income earners</w:t>
      </w:r>
      <w:r w:rsidR="003804C3" w:rsidRPr="00CA4DA0">
        <w:rPr>
          <w:rFonts w:cstheme="minorHAnsi"/>
          <w:sz w:val="24"/>
          <w:szCs w:val="24"/>
        </w:rPr>
        <w:t xml:space="preserve"> (Figure </w:t>
      </w:r>
      <w:r w:rsidR="00A0344D">
        <w:rPr>
          <w:rFonts w:cstheme="minorHAnsi"/>
          <w:sz w:val="24"/>
          <w:szCs w:val="24"/>
        </w:rPr>
        <w:t>6</w:t>
      </w:r>
      <w:r w:rsidR="003804C3" w:rsidRPr="00CA4DA0">
        <w:rPr>
          <w:rFonts w:cstheme="minorHAnsi"/>
          <w:sz w:val="24"/>
          <w:szCs w:val="24"/>
        </w:rPr>
        <w:t>)</w:t>
      </w:r>
      <w:r w:rsidR="0071252A" w:rsidRPr="00CA4DA0">
        <w:rPr>
          <w:rFonts w:cstheme="minorHAnsi"/>
          <w:sz w:val="24"/>
          <w:szCs w:val="24"/>
        </w:rPr>
        <w:t>. While the benefits of economic expansion used to be relative</w:t>
      </w:r>
      <w:r w:rsidR="000F7AC0">
        <w:rPr>
          <w:rFonts w:cstheme="minorHAnsi"/>
          <w:sz w:val="24"/>
          <w:szCs w:val="24"/>
        </w:rPr>
        <w:t>ly</w:t>
      </w:r>
      <w:r w:rsidR="0071252A" w:rsidRPr="00CA4DA0">
        <w:rPr>
          <w:rFonts w:cstheme="minorHAnsi"/>
          <w:sz w:val="24"/>
          <w:szCs w:val="24"/>
        </w:rPr>
        <w:t xml:space="preserve"> broadly shared, since the 1980s,</w:t>
      </w:r>
      <w:r w:rsidR="00E20A14" w:rsidRPr="00CA4DA0">
        <w:rPr>
          <w:rFonts w:cstheme="minorHAnsi"/>
          <w:sz w:val="24"/>
          <w:szCs w:val="24"/>
        </w:rPr>
        <w:t xml:space="preserve"> national</w:t>
      </w:r>
      <w:r w:rsidR="0071252A" w:rsidRPr="00CA4DA0">
        <w:rPr>
          <w:rFonts w:cstheme="minorHAnsi"/>
          <w:sz w:val="24"/>
          <w:szCs w:val="24"/>
        </w:rPr>
        <w:t xml:space="preserve"> </w:t>
      </w:r>
      <w:r w:rsidR="0021209F" w:rsidRPr="00CA4DA0">
        <w:rPr>
          <w:rFonts w:cstheme="minorHAnsi"/>
          <w:sz w:val="24"/>
          <w:szCs w:val="24"/>
        </w:rPr>
        <w:t>income gains</w:t>
      </w:r>
      <w:r w:rsidR="00C65343" w:rsidRPr="00CA4DA0">
        <w:rPr>
          <w:rFonts w:cstheme="minorHAnsi"/>
          <w:sz w:val="24"/>
          <w:szCs w:val="24"/>
        </w:rPr>
        <w:t xml:space="preserve"> have gone </w:t>
      </w:r>
      <w:r w:rsidR="0021209F" w:rsidRPr="00CA4DA0">
        <w:rPr>
          <w:rFonts w:cstheme="minorHAnsi"/>
          <w:sz w:val="24"/>
          <w:szCs w:val="24"/>
        </w:rPr>
        <w:t>almost</w:t>
      </w:r>
      <w:r w:rsidR="00C65343" w:rsidRPr="00CA4DA0">
        <w:rPr>
          <w:rFonts w:cstheme="minorHAnsi"/>
          <w:sz w:val="24"/>
          <w:szCs w:val="24"/>
        </w:rPr>
        <w:t xml:space="preserve"> entirely to the top 1</w:t>
      </w:r>
      <w:r w:rsidR="005658F6" w:rsidRPr="00CA4DA0">
        <w:rPr>
          <w:rFonts w:cstheme="minorHAnsi"/>
          <w:sz w:val="24"/>
          <w:szCs w:val="24"/>
        </w:rPr>
        <w:t>0</w:t>
      </w:r>
      <w:r w:rsidR="002E4447" w:rsidRPr="00CA4DA0">
        <w:rPr>
          <w:rFonts w:cstheme="minorHAnsi"/>
          <w:sz w:val="24"/>
          <w:szCs w:val="24"/>
        </w:rPr>
        <w:t>%</w:t>
      </w:r>
      <w:r w:rsidR="00E20A14" w:rsidRPr="00CA4DA0">
        <w:rPr>
          <w:rFonts w:cstheme="minorHAnsi"/>
          <w:sz w:val="24"/>
          <w:szCs w:val="24"/>
        </w:rPr>
        <w:t>.</w:t>
      </w:r>
      <w:r w:rsidR="007A3C6B" w:rsidRPr="00CA4DA0">
        <w:rPr>
          <w:rFonts w:cstheme="minorHAnsi"/>
          <w:sz w:val="24"/>
          <w:szCs w:val="24"/>
        </w:rPr>
        <w:t xml:space="preserve"> </w:t>
      </w:r>
      <w:r w:rsidR="0093648A" w:rsidRPr="00CA4DA0">
        <w:rPr>
          <w:rFonts w:cstheme="minorHAnsi"/>
          <w:sz w:val="24"/>
          <w:szCs w:val="24"/>
        </w:rPr>
        <w:t>D</w:t>
      </w:r>
      <w:r w:rsidR="0071252A" w:rsidRPr="00CA4DA0">
        <w:rPr>
          <w:rFonts w:cstheme="minorHAnsi"/>
          <w:sz w:val="24"/>
          <w:szCs w:val="24"/>
        </w:rPr>
        <w:t>uring the last economic expansion (</w:t>
      </w:r>
      <w:r w:rsidR="00B97FA0" w:rsidRPr="00CA4DA0">
        <w:rPr>
          <w:rFonts w:cstheme="minorHAnsi"/>
          <w:sz w:val="24"/>
          <w:szCs w:val="24"/>
        </w:rPr>
        <w:t xml:space="preserve">June </w:t>
      </w:r>
      <w:r w:rsidR="0071252A" w:rsidRPr="00CA4DA0">
        <w:rPr>
          <w:rFonts w:cstheme="minorHAnsi"/>
          <w:sz w:val="24"/>
          <w:szCs w:val="24"/>
        </w:rPr>
        <w:t>2009</w:t>
      </w:r>
      <w:r w:rsidR="00B97FA0" w:rsidRPr="00CA4DA0">
        <w:rPr>
          <w:rFonts w:cstheme="minorHAnsi"/>
          <w:sz w:val="24"/>
          <w:szCs w:val="24"/>
        </w:rPr>
        <w:t xml:space="preserve"> to February </w:t>
      </w:r>
      <w:r w:rsidR="0071252A" w:rsidRPr="00CA4DA0">
        <w:rPr>
          <w:rFonts w:cstheme="minorHAnsi"/>
          <w:sz w:val="24"/>
          <w:szCs w:val="24"/>
        </w:rPr>
        <w:t xml:space="preserve">2020), </w:t>
      </w:r>
      <w:r w:rsidR="005658F6" w:rsidRPr="00CA4DA0">
        <w:rPr>
          <w:rFonts w:cstheme="minorHAnsi"/>
          <w:sz w:val="24"/>
          <w:szCs w:val="24"/>
        </w:rPr>
        <w:t>76.9</w:t>
      </w:r>
      <w:r w:rsidR="002E4447" w:rsidRPr="00CA4DA0">
        <w:rPr>
          <w:rFonts w:cstheme="minorHAnsi"/>
          <w:sz w:val="24"/>
          <w:szCs w:val="24"/>
        </w:rPr>
        <w:t>%</w:t>
      </w:r>
      <w:r w:rsidR="007A3C6B" w:rsidRPr="00CA4DA0">
        <w:rPr>
          <w:rFonts w:cstheme="minorHAnsi"/>
          <w:sz w:val="24"/>
          <w:szCs w:val="24"/>
        </w:rPr>
        <w:t xml:space="preserve"> </w:t>
      </w:r>
      <w:r w:rsidR="005658F6" w:rsidRPr="00CA4DA0">
        <w:rPr>
          <w:rFonts w:cstheme="minorHAnsi"/>
          <w:sz w:val="24"/>
          <w:szCs w:val="24"/>
        </w:rPr>
        <w:t xml:space="preserve">of the </w:t>
      </w:r>
      <w:r w:rsidR="00E20A14" w:rsidRPr="00CA4DA0">
        <w:rPr>
          <w:rFonts w:cstheme="minorHAnsi"/>
          <w:sz w:val="24"/>
          <w:szCs w:val="24"/>
        </w:rPr>
        <w:t xml:space="preserve">national </w:t>
      </w:r>
      <w:r w:rsidR="005658F6" w:rsidRPr="00CA4DA0">
        <w:rPr>
          <w:rFonts w:cstheme="minorHAnsi"/>
          <w:sz w:val="24"/>
          <w:szCs w:val="24"/>
        </w:rPr>
        <w:t xml:space="preserve">income gain </w:t>
      </w:r>
      <w:r w:rsidR="0071252A" w:rsidRPr="00CA4DA0">
        <w:rPr>
          <w:rFonts w:cstheme="minorHAnsi"/>
          <w:sz w:val="24"/>
          <w:szCs w:val="24"/>
        </w:rPr>
        <w:t>went</w:t>
      </w:r>
      <w:r w:rsidR="005658F6" w:rsidRPr="00CA4DA0">
        <w:rPr>
          <w:rFonts w:cstheme="minorHAnsi"/>
          <w:sz w:val="24"/>
          <w:szCs w:val="24"/>
        </w:rPr>
        <w:t xml:space="preserve"> to the top 10</w:t>
      </w:r>
      <w:r w:rsidR="002E4447" w:rsidRPr="00CA4DA0">
        <w:rPr>
          <w:rFonts w:cstheme="minorHAnsi"/>
          <w:sz w:val="24"/>
          <w:szCs w:val="24"/>
        </w:rPr>
        <w:t>%</w:t>
      </w:r>
      <w:r w:rsidR="007A3C6B" w:rsidRPr="00CA4DA0">
        <w:rPr>
          <w:rFonts w:cstheme="minorHAnsi"/>
          <w:sz w:val="24"/>
          <w:szCs w:val="24"/>
        </w:rPr>
        <w:t xml:space="preserve"> </w:t>
      </w:r>
      <w:r w:rsidR="005658F6" w:rsidRPr="00CA4DA0">
        <w:rPr>
          <w:rFonts w:cstheme="minorHAnsi"/>
          <w:sz w:val="24"/>
          <w:szCs w:val="24"/>
        </w:rPr>
        <w:t>of income earners.</w:t>
      </w:r>
      <w:r w:rsidR="00C65343" w:rsidRPr="00CA4DA0">
        <w:rPr>
          <w:rFonts w:cstheme="minorHAnsi"/>
          <w:sz w:val="24"/>
          <w:szCs w:val="24"/>
        </w:rPr>
        <w:t xml:space="preserve"> </w:t>
      </w:r>
      <w:r w:rsidR="00BF5047" w:rsidRPr="00CA4DA0">
        <w:rPr>
          <w:rFonts w:cstheme="minorHAnsi"/>
          <w:sz w:val="24"/>
          <w:szCs w:val="24"/>
        </w:rPr>
        <w:t>In terms of wealth share</w:t>
      </w:r>
      <w:r w:rsidR="0073191A" w:rsidRPr="00CA4DA0">
        <w:rPr>
          <w:rFonts w:cstheme="minorHAnsi"/>
          <w:sz w:val="24"/>
          <w:szCs w:val="24"/>
        </w:rPr>
        <w:t>, given that the bottom 50</w:t>
      </w:r>
      <w:r w:rsidR="002E4447" w:rsidRPr="00CA4DA0">
        <w:rPr>
          <w:rFonts w:cstheme="minorHAnsi"/>
          <w:sz w:val="24"/>
          <w:szCs w:val="24"/>
        </w:rPr>
        <w:t>%</w:t>
      </w:r>
      <w:r w:rsidR="007A3C6B" w:rsidRPr="00CA4DA0">
        <w:rPr>
          <w:rFonts w:cstheme="minorHAnsi"/>
          <w:sz w:val="24"/>
          <w:szCs w:val="24"/>
        </w:rPr>
        <w:t xml:space="preserve"> </w:t>
      </w:r>
      <w:r w:rsidR="0073191A" w:rsidRPr="00CA4DA0">
        <w:rPr>
          <w:rFonts w:cstheme="minorHAnsi"/>
          <w:sz w:val="24"/>
          <w:szCs w:val="24"/>
        </w:rPr>
        <w:t>of the U</w:t>
      </w:r>
      <w:r w:rsidR="002E4447" w:rsidRPr="00CA4DA0">
        <w:rPr>
          <w:rFonts w:cstheme="minorHAnsi"/>
          <w:sz w:val="24"/>
          <w:szCs w:val="24"/>
        </w:rPr>
        <w:t>.</w:t>
      </w:r>
      <w:r w:rsidR="0073191A" w:rsidRPr="00CA4DA0">
        <w:rPr>
          <w:rFonts w:cstheme="minorHAnsi"/>
          <w:sz w:val="24"/>
          <w:szCs w:val="24"/>
        </w:rPr>
        <w:t>S</w:t>
      </w:r>
      <w:r w:rsidR="002E4447" w:rsidRPr="00CA4DA0">
        <w:rPr>
          <w:rFonts w:cstheme="minorHAnsi"/>
          <w:sz w:val="24"/>
          <w:szCs w:val="24"/>
        </w:rPr>
        <w:t>.</w:t>
      </w:r>
      <w:r w:rsidR="0073191A" w:rsidRPr="00CA4DA0">
        <w:rPr>
          <w:rFonts w:cstheme="minorHAnsi"/>
          <w:sz w:val="24"/>
          <w:szCs w:val="24"/>
        </w:rPr>
        <w:t xml:space="preserve"> population has little to no wealth, all the transfer of wealth share to the top 1</w:t>
      </w:r>
      <w:r w:rsidR="002E4447" w:rsidRPr="00CA4DA0">
        <w:rPr>
          <w:rFonts w:cstheme="minorHAnsi"/>
          <w:sz w:val="24"/>
          <w:szCs w:val="24"/>
        </w:rPr>
        <w:t>%</w:t>
      </w:r>
      <w:r w:rsidR="0073191A" w:rsidRPr="00CA4DA0">
        <w:rPr>
          <w:rFonts w:cstheme="minorHAnsi"/>
          <w:sz w:val="24"/>
          <w:szCs w:val="24"/>
        </w:rPr>
        <w:t xml:space="preserve"> came from the 49</w:t>
      </w:r>
      <w:r w:rsidR="002E4447" w:rsidRPr="00CA4DA0">
        <w:rPr>
          <w:rFonts w:cstheme="minorHAnsi"/>
          <w:sz w:val="24"/>
          <w:szCs w:val="24"/>
        </w:rPr>
        <w:t>%</w:t>
      </w:r>
      <w:r w:rsidR="007A3C6B" w:rsidRPr="00CA4DA0">
        <w:rPr>
          <w:rFonts w:cstheme="minorHAnsi"/>
          <w:sz w:val="24"/>
          <w:szCs w:val="24"/>
        </w:rPr>
        <w:t xml:space="preserve"> </w:t>
      </w:r>
      <w:r w:rsidR="0073191A" w:rsidRPr="00CA4DA0">
        <w:rPr>
          <w:rFonts w:cstheme="minorHAnsi"/>
          <w:sz w:val="24"/>
          <w:szCs w:val="24"/>
        </w:rPr>
        <w:t>of the population below them</w:t>
      </w:r>
      <w:r w:rsidR="00C65343" w:rsidRPr="00CA4DA0">
        <w:rPr>
          <w:rFonts w:cstheme="minorHAnsi"/>
          <w:sz w:val="24"/>
          <w:szCs w:val="24"/>
        </w:rPr>
        <w:t>. The top 1</w:t>
      </w:r>
      <w:r w:rsidR="002E4447" w:rsidRPr="00CA4DA0">
        <w:rPr>
          <w:rFonts w:cstheme="minorHAnsi"/>
          <w:sz w:val="24"/>
          <w:szCs w:val="24"/>
        </w:rPr>
        <w:t>%</w:t>
      </w:r>
      <w:r w:rsidR="007A3C6B" w:rsidRPr="00CA4DA0">
        <w:rPr>
          <w:rFonts w:cstheme="minorHAnsi"/>
          <w:sz w:val="24"/>
          <w:szCs w:val="24"/>
        </w:rPr>
        <w:t xml:space="preserve"> </w:t>
      </w:r>
      <w:r w:rsidR="00C65343" w:rsidRPr="00CA4DA0">
        <w:rPr>
          <w:rFonts w:cstheme="minorHAnsi"/>
          <w:sz w:val="24"/>
          <w:szCs w:val="24"/>
        </w:rPr>
        <w:t>share</w:t>
      </w:r>
      <w:r w:rsidR="000F7AC0">
        <w:rPr>
          <w:rFonts w:cstheme="minorHAnsi"/>
          <w:sz w:val="24"/>
          <w:szCs w:val="24"/>
        </w:rPr>
        <w:t xml:space="preserve"> of wealth</w:t>
      </w:r>
      <w:r w:rsidR="00C65343" w:rsidRPr="00CA4DA0">
        <w:rPr>
          <w:rFonts w:cstheme="minorHAnsi"/>
          <w:sz w:val="24"/>
          <w:szCs w:val="24"/>
        </w:rPr>
        <w:t xml:space="preserve"> </w:t>
      </w:r>
      <w:r w:rsidR="005658F6" w:rsidRPr="00CA4DA0">
        <w:rPr>
          <w:rFonts w:cstheme="minorHAnsi"/>
          <w:sz w:val="24"/>
          <w:szCs w:val="24"/>
        </w:rPr>
        <w:t xml:space="preserve">almost </w:t>
      </w:r>
      <w:r w:rsidR="0071252A" w:rsidRPr="00CA4DA0">
        <w:rPr>
          <w:rFonts w:cstheme="minorHAnsi"/>
          <w:sz w:val="24"/>
          <w:szCs w:val="24"/>
        </w:rPr>
        <w:t>doubled</w:t>
      </w:r>
      <w:r w:rsidR="005658F6" w:rsidRPr="00CA4DA0">
        <w:rPr>
          <w:rFonts w:cstheme="minorHAnsi"/>
          <w:sz w:val="24"/>
          <w:szCs w:val="24"/>
        </w:rPr>
        <w:t xml:space="preserve"> from 21</w:t>
      </w:r>
      <w:r w:rsidR="002E4447" w:rsidRPr="00CA4DA0">
        <w:rPr>
          <w:rFonts w:cstheme="minorHAnsi"/>
          <w:sz w:val="24"/>
          <w:szCs w:val="24"/>
        </w:rPr>
        <w:t>%</w:t>
      </w:r>
      <w:r w:rsidR="007A3C6B" w:rsidRPr="00CA4DA0">
        <w:rPr>
          <w:rFonts w:cstheme="minorHAnsi"/>
          <w:sz w:val="24"/>
          <w:szCs w:val="24"/>
        </w:rPr>
        <w:t xml:space="preserve"> </w:t>
      </w:r>
      <w:r w:rsidR="005658F6" w:rsidRPr="00CA4DA0">
        <w:rPr>
          <w:rFonts w:cstheme="minorHAnsi"/>
          <w:sz w:val="24"/>
          <w:szCs w:val="24"/>
        </w:rPr>
        <w:t>in the mid</w:t>
      </w:r>
      <w:r w:rsidR="00BA39CC" w:rsidRPr="00CA4DA0">
        <w:rPr>
          <w:rFonts w:cstheme="minorHAnsi"/>
          <w:sz w:val="24"/>
          <w:szCs w:val="24"/>
        </w:rPr>
        <w:t>-</w:t>
      </w:r>
      <w:r w:rsidR="005658F6" w:rsidRPr="00CA4DA0">
        <w:rPr>
          <w:rFonts w:cstheme="minorHAnsi"/>
          <w:sz w:val="24"/>
          <w:szCs w:val="24"/>
        </w:rPr>
        <w:t>1970s to 37</w:t>
      </w:r>
      <w:r w:rsidR="002E4447" w:rsidRPr="00CA4DA0">
        <w:rPr>
          <w:rFonts w:cstheme="minorHAnsi"/>
          <w:sz w:val="24"/>
          <w:szCs w:val="24"/>
        </w:rPr>
        <w:t>%</w:t>
      </w:r>
      <w:r w:rsidR="007A3C6B" w:rsidRPr="00CA4DA0">
        <w:rPr>
          <w:rFonts w:cstheme="minorHAnsi"/>
          <w:sz w:val="24"/>
          <w:szCs w:val="24"/>
        </w:rPr>
        <w:t xml:space="preserve"> </w:t>
      </w:r>
      <w:r w:rsidR="005658F6" w:rsidRPr="00CA4DA0">
        <w:rPr>
          <w:rFonts w:cstheme="minorHAnsi"/>
          <w:sz w:val="24"/>
          <w:szCs w:val="24"/>
        </w:rPr>
        <w:t>of national wealth in 2016</w:t>
      </w:r>
      <w:r w:rsidR="00F232F3">
        <w:rPr>
          <w:rFonts w:cstheme="minorHAnsi"/>
          <w:sz w:val="24"/>
          <w:szCs w:val="24"/>
        </w:rPr>
        <w:t xml:space="preserve"> according to the World Inequality D</w:t>
      </w:r>
      <w:r w:rsidR="00B97FA0" w:rsidRPr="00CA4DA0">
        <w:rPr>
          <w:rFonts w:cstheme="minorHAnsi"/>
          <w:sz w:val="24"/>
          <w:szCs w:val="24"/>
        </w:rPr>
        <w:t>atabase</w:t>
      </w:r>
      <w:r w:rsidR="006049F3" w:rsidRPr="00CA4DA0">
        <w:rPr>
          <w:rFonts w:cstheme="minorHAnsi"/>
          <w:sz w:val="24"/>
          <w:szCs w:val="24"/>
        </w:rPr>
        <w:t xml:space="preserve">. </w:t>
      </w:r>
    </w:p>
    <w:p w14:paraId="6A85954F" w14:textId="0341A7CF" w:rsidR="0093648A" w:rsidRPr="00CA4DA0" w:rsidRDefault="004239F9" w:rsidP="004239F9">
      <w:pPr>
        <w:jc w:val="center"/>
        <w:rPr>
          <w:rFonts w:cstheme="minorHAnsi"/>
          <w:sz w:val="24"/>
          <w:szCs w:val="24"/>
        </w:rPr>
      </w:pPr>
      <w:r w:rsidRPr="00CA4DA0">
        <w:rPr>
          <w:rFonts w:cstheme="minorHAnsi"/>
          <w:sz w:val="24"/>
          <w:szCs w:val="24"/>
        </w:rPr>
        <w:t xml:space="preserve">FIGURE </w:t>
      </w:r>
      <w:r w:rsidR="00A0344D">
        <w:rPr>
          <w:rFonts w:cstheme="minorHAnsi"/>
          <w:sz w:val="24"/>
          <w:szCs w:val="24"/>
        </w:rPr>
        <w:t>6</w:t>
      </w:r>
      <w:r w:rsidRPr="00CA4DA0">
        <w:rPr>
          <w:rFonts w:cstheme="minorHAnsi"/>
          <w:sz w:val="24"/>
          <w:szCs w:val="24"/>
        </w:rPr>
        <w:t xml:space="preserve"> HERE</w:t>
      </w:r>
    </w:p>
    <w:p w14:paraId="21BDEC71" w14:textId="0A113F8B" w:rsidR="006049F3" w:rsidRPr="00CA4DA0" w:rsidRDefault="006049F3" w:rsidP="003804C3">
      <w:pPr>
        <w:ind w:firstLine="720"/>
        <w:rPr>
          <w:rFonts w:cstheme="minorHAnsi"/>
          <w:sz w:val="24"/>
          <w:szCs w:val="24"/>
          <w:vertAlign w:val="superscript"/>
        </w:rPr>
      </w:pPr>
      <w:r w:rsidRPr="00CA4DA0">
        <w:rPr>
          <w:rFonts w:cstheme="minorHAnsi"/>
          <w:sz w:val="24"/>
          <w:szCs w:val="24"/>
        </w:rPr>
        <w:t>The main effect of such a lack of shared</w:t>
      </w:r>
      <w:r w:rsidR="007A3C6B" w:rsidRPr="00CA4DA0">
        <w:rPr>
          <w:rFonts w:cstheme="minorHAnsi"/>
          <w:sz w:val="24"/>
          <w:szCs w:val="24"/>
        </w:rPr>
        <w:t xml:space="preserve"> prosperity has been the</w:t>
      </w:r>
      <w:r w:rsidR="004A1596" w:rsidRPr="00CA4DA0">
        <w:rPr>
          <w:rFonts w:cstheme="minorHAnsi"/>
          <w:sz w:val="24"/>
          <w:szCs w:val="24"/>
        </w:rPr>
        <w:t xml:space="preserve"> disappearance of</w:t>
      </w:r>
      <w:r w:rsidRPr="00CA4DA0">
        <w:rPr>
          <w:rFonts w:cstheme="minorHAnsi"/>
          <w:sz w:val="24"/>
          <w:szCs w:val="24"/>
        </w:rPr>
        <w:t xml:space="preserve"> </w:t>
      </w:r>
      <w:r w:rsidR="004A1596" w:rsidRPr="00CA4DA0">
        <w:rPr>
          <w:rFonts w:cstheme="minorHAnsi"/>
          <w:sz w:val="24"/>
          <w:szCs w:val="24"/>
        </w:rPr>
        <w:t>a</w:t>
      </w:r>
      <w:r w:rsidRPr="00CA4DA0">
        <w:rPr>
          <w:rFonts w:cstheme="minorHAnsi"/>
          <w:sz w:val="24"/>
          <w:szCs w:val="24"/>
        </w:rPr>
        <w:t xml:space="preserve"> middle class that can earn sufficient income to sustain its consumption </w:t>
      </w:r>
      <w:r w:rsidR="004656BE" w:rsidRPr="00CA4DA0">
        <w:rPr>
          <w:rFonts w:cstheme="minorHAnsi"/>
          <w:sz w:val="24"/>
          <w:szCs w:val="24"/>
        </w:rPr>
        <w:t>and home purchase</w:t>
      </w:r>
      <w:r w:rsidR="000F7AC0">
        <w:rPr>
          <w:rFonts w:cstheme="minorHAnsi"/>
          <w:sz w:val="24"/>
          <w:szCs w:val="24"/>
        </w:rPr>
        <w:t>s</w:t>
      </w:r>
      <w:r w:rsidR="007206C0" w:rsidRPr="00CA4DA0">
        <w:rPr>
          <w:rFonts w:cstheme="minorHAnsi"/>
          <w:sz w:val="24"/>
          <w:szCs w:val="24"/>
        </w:rPr>
        <w:t>,</w:t>
      </w:r>
      <w:r w:rsidR="004A1596" w:rsidRPr="00CA4DA0">
        <w:rPr>
          <w:rFonts w:cstheme="minorHAnsi"/>
          <w:sz w:val="24"/>
          <w:szCs w:val="24"/>
        </w:rPr>
        <w:t xml:space="preserve"> both of which are key drivers of U</w:t>
      </w:r>
      <w:r w:rsidR="002E4447" w:rsidRPr="00CA4DA0">
        <w:rPr>
          <w:rFonts w:cstheme="minorHAnsi"/>
          <w:sz w:val="24"/>
          <w:szCs w:val="24"/>
        </w:rPr>
        <w:t>.</w:t>
      </w:r>
      <w:r w:rsidR="004A1596" w:rsidRPr="00CA4DA0">
        <w:rPr>
          <w:rFonts w:cstheme="minorHAnsi"/>
          <w:sz w:val="24"/>
          <w:szCs w:val="24"/>
        </w:rPr>
        <w:t>S</w:t>
      </w:r>
      <w:r w:rsidR="002E4447" w:rsidRPr="00CA4DA0">
        <w:rPr>
          <w:rFonts w:cstheme="minorHAnsi"/>
          <w:sz w:val="24"/>
          <w:szCs w:val="24"/>
        </w:rPr>
        <w:t>.</w:t>
      </w:r>
      <w:r w:rsidR="004A1596" w:rsidRPr="00CA4DA0">
        <w:rPr>
          <w:rFonts w:cstheme="minorHAnsi"/>
          <w:sz w:val="24"/>
          <w:szCs w:val="24"/>
        </w:rPr>
        <w:t xml:space="preserve"> </w:t>
      </w:r>
      <w:r w:rsidRPr="00CA4DA0">
        <w:rPr>
          <w:rFonts w:cstheme="minorHAnsi"/>
          <w:sz w:val="24"/>
          <w:szCs w:val="24"/>
        </w:rPr>
        <w:t xml:space="preserve">economic growth. </w:t>
      </w:r>
      <w:r w:rsidR="004A1596" w:rsidRPr="00CA4DA0">
        <w:rPr>
          <w:rFonts w:cstheme="minorHAnsi"/>
          <w:sz w:val="24"/>
          <w:szCs w:val="24"/>
        </w:rPr>
        <w:t>More broadly,</w:t>
      </w:r>
      <w:r w:rsidR="00CC5897" w:rsidRPr="00CA4DA0">
        <w:rPr>
          <w:rFonts w:cstheme="minorHAnsi"/>
          <w:sz w:val="24"/>
          <w:szCs w:val="24"/>
        </w:rPr>
        <w:t xml:space="preserve"> low and middle class households have used debts and their savings</w:t>
      </w:r>
      <w:r w:rsidR="003B4D1D" w:rsidRPr="00CA4DA0">
        <w:rPr>
          <w:rFonts w:cstheme="minorHAnsi"/>
          <w:sz w:val="24"/>
          <w:szCs w:val="24"/>
        </w:rPr>
        <w:t>, if any,</w:t>
      </w:r>
      <w:r w:rsidR="00CC5897" w:rsidRPr="00CA4DA0">
        <w:rPr>
          <w:rFonts w:cstheme="minorHAnsi"/>
          <w:sz w:val="24"/>
          <w:szCs w:val="24"/>
        </w:rPr>
        <w:t xml:space="preserve"> to sustain their </w:t>
      </w:r>
      <w:r w:rsidR="004656BE" w:rsidRPr="00CA4DA0">
        <w:rPr>
          <w:rFonts w:cstheme="minorHAnsi"/>
          <w:sz w:val="24"/>
          <w:szCs w:val="24"/>
        </w:rPr>
        <w:t xml:space="preserve">housing, education, </w:t>
      </w:r>
      <w:r w:rsidR="00FA4165" w:rsidRPr="00CA4DA0">
        <w:rPr>
          <w:rFonts w:cstheme="minorHAnsi"/>
          <w:sz w:val="24"/>
          <w:szCs w:val="24"/>
        </w:rPr>
        <w:t xml:space="preserve">casual </w:t>
      </w:r>
      <w:r w:rsidR="004656BE" w:rsidRPr="00CA4DA0">
        <w:rPr>
          <w:rFonts w:cstheme="minorHAnsi"/>
          <w:sz w:val="24"/>
          <w:szCs w:val="24"/>
        </w:rPr>
        <w:t>consumption</w:t>
      </w:r>
      <w:r w:rsidR="006F3B86" w:rsidRPr="00CA4DA0">
        <w:rPr>
          <w:rFonts w:cstheme="minorHAnsi"/>
          <w:sz w:val="24"/>
          <w:szCs w:val="24"/>
        </w:rPr>
        <w:t xml:space="preserve"> and </w:t>
      </w:r>
      <w:r w:rsidR="004656BE" w:rsidRPr="00CA4DA0">
        <w:rPr>
          <w:rFonts w:cstheme="minorHAnsi"/>
          <w:sz w:val="24"/>
          <w:szCs w:val="24"/>
        </w:rPr>
        <w:t>health needs, among others</w:t>
      </w:r>
      <w:r w:rsidR="00FA4165" w:rsidRPr="00CA4DA0">
        <w:rPr>
          <w:rFonts w:cstheme="minorHAnsi"/>
          <w:sz w:val="24"/>
          <w:szCs w:val="24"/>
        </w:rPr>
        <w:t xml:space="preserve">. This </w:t>
      </w:r>
      <w:r w:rsidR="00CC5897" w:rsidRPr="00CA4DA0">
        <w:rPr>
          <w:rFonts w:cstheme="minorHAnsi"/>
          <w:sz w:val="24"/>
          <w:szCs w:val="24"/>
        </w:rPr>
        <w:t xml:space="preserve">has led to a very rapid increase in </w:t>
      </w:r>
      <w:r w:rsidR="00FA4165" w:rsidRPr="00CA4DA0">
        <w:rPr>
          <w:rFonts w:cstheme="minorHAnsi"/>
          <w:sz w:val="24"/>
          <w:szCs w:val="24"/>
        </w:rPr>
        <w:t>the</w:t>
      </w:r>
      <w:r w:rsidR="00860BF5" w:rsidRPr="00CA4DA0">
        <w:rPr>
          <w:rFonts w:cstheme="minorHAnsi"/>
          <w:sz w:val="24"/>
          <w:szCs w:val="24"/>
        </w:rPr>
        <w:t xml:space="preserve"> debt-to-i</w:t>
      </w:r>
      <w:r w:rsidR="00D12A6C" w:rsidRPr="00CA4DA0">
        <w:rPr>
          <w:rFonts w:cstheme="minorHAnsi"/>
          <w:sz w:val="24"/>
          <w:szCs w:val="24"/>
        </w:rPr>
        <w:t xml:space="preserve">ncome ratio </w:t>
      </w:r>
      <w:r w:rsidR="00FA4165" w:rsidRPr="00CA4DA0">
        <w:rPr>
          <w:rFonts w:cstheme="minorHAnsi"/>
          <w:sz w:val="24"/>
          <w:szCs w:val="24"/>
        </w:rPr>
        <w:t>of</w:t>
      </w:r>
      <w:r w:rsidR="00D12A6C" w:rsidRPr="00CA4DA0">
        <w:rPr>
          <w:rFonts w:cstheme="minorHAnsi"/>
          <w:sz w:val="24"/>
          <w:szCs w:val="24"/>
        </w:rPr>
        <w:t xml:space="preserve"> the bottom 50</w:t>
      </w:r>
      <w:r w:rsidR="006F3B86" w:rsidRPr="00CA4DA0">
        <w:rPr>
          <w:rFonts w:cstheme="minorHAnsi"/>
          <w:sz w:val="24"/>
          <w:szCs w:val="24"/>
        </w:rPr>
        <w:t>%</w:t>
      </w:r>
      <w:r w:rsidR="007A3C6B" w:rsidRPr="00CA4DA0">
        <w:rPr>
          <w:rFonts w:cstheme="minorHAnsi"/>
          <w:sz w:val="24"/>
          <w:szCs w:val="24"/>
        </w:rPr>
        <w:t xml:space="preserve"> </w:t>
      </w:r>
      <w:r w:rsidR="00D12A6C" w:rsidRPr="00CA4DA0">
        <w:rPr>
          <w:rFonts w:cstheme="minorHAnsi"/>
          <w:sz w:val="24"/>
          <w:szCs w:val="24"/>
        </w:rPr>
        <w:t>and middle 40</w:t>
      </w:r>
      <w:r w:rsidR="006F3B86" w:rsidRPr="00CA4DA0">
        <w:rPr>
          <w:rFonts w:cstheme="minorHAnsi"/>
          <w:sz w:val="24"/>
          <w:szCs w:val="24"/>
        </w:rPr>
        <w:t>%</w:t>
      </w:r>
      <w:r w:rsidR="007A3C6B" w:rsidRPr="00CA4DA0">
        <w:rPr>
          <w:rFonts w:cstheme="minorHAnsi"/>
          <w:sz w:val="24"/>
          <w:szCs w:val="24"/>
        </w:rPr>
        <w:t xml:space="preserve"> </w:t>
      </w:r>
      <w:r w:rsidR="00547600" w:rsidRPr="00CA4DA0">
        <w:rPr>
          <w:rFonts w:cstheme="minorHAnsi"/>
          <w:sz w:val="24"/>
          <w:szCs w:val="24"/>
        </w:rPr>
        <w:t xml:space="preserve">of income earners (Batsher et al. 2020). </w:t>
      </w:r>
      <w:r w:rsidR="00D12A6C" w:rsidRPr="00CA4DA0">
        <w:rPr>
          <w:rFonts w:cstheme="minorHAnsi"/>
          <w:sz w:val="24"/>
          <w:szCs w:val="24"/>
        </w:rPr>
        <w:t xml:space="preserve"> </w:t>
      </w:r>
      <w:r w:rsidR="00B97FA0" w:rsidRPr="00CA4DA0">
        <w:rPr>
          <w:rFonts w:cstheme="minorHAnsi"/>
          <w:sz w:val="24"/>
          <w:szCs w:val="24"/>
        </w:rPr>
        <w:t>Instead of income growth, d</w:t>
      </w:r>
      <w:r w:rsidR="0021209F" w:rsidRPr="00CA4DA0">
        <w:rPr>
          <w:rFonts w:cstheme="minorHAnsi"/>
          <w:sz w:val="24"/>
          <w:szCs w:val="24"/>
        </w:rPr>
        <w:t xml:space="preserve">ebt </w:t>
      </w:r>
      <w:r w:rsidR="00B97FA0" w:rsidRPr="00CA4DA0">
        <w:rPr>
          <w:rFonts w:cstheme="minorHAnsi"/>
          <w:sz w:val="24"/>
          <w:szCs w:val="24"/>
        </w:rPr>
        <w:t xml:space="preserve">growth </w:t>
      </w:r>
      <w:r w:rsidR="0021209F" w:rsidRPr="00CA4DA0">
        <w:rPr>
          <w:rFonts w:cstheme="minorHAnsi"/>
          <w:sz w:val="24"/>
          <w:szCs w:val="24"/>
        </w:rPr>
        <w:t>and asset-</w:t>
      </w:r>
      <w:r w:rsidR="004656BE" w:rsidRPr="00CA4DA0">
        <w:rPr>
          <w:rFonts w:cstheme="minorHAnsi"/>
          <w:sz w:val="24"/>
          <w:szCs w:val="24"/>
        </w:rPr>
        <w:t xml:space="preserve">price growth have become key means to sustain </w:t>
      </w:r>
      <w:r w:rsidR="00AB610A" w:rsidRPr="00CA4DA0">
        <w:rPr>
          <w:rFonts w:cstheme="minorHAnsi"/>
          <w:sz w:val="24"/>
          <w:szCs w:val="24"/>
        </w:rPr>
        <w:t>economic activity</w:t>
      </w:r>
      <w:r w:rsidR="00684136" w:rsidRPr="00CA4DA0">
        <w:rPr>
          <w:rFonts w:cstheme="minorHAnsi"/>
          <w:sz w:val="24"/>
          <w:szCs w:val="24"/>
        </w:rPr>
        <w:t>,</w:t>
      </w:r>
      <w:r w:rsidR="00AB610A" w:rsidRPr="00CA4DA0">
        <w:rPr>
          <w:rFonts w:cstheme="minorHAnsi"/>
          <w:sz w:val="24"/>
          <w:szCs w:val="24"/>
        </w:rPr>
        <w:t xml:space="preserve"> which has promoted financial instability over the past </w:t>
      </w:r>
      <w:r w:rsidR="007206C0" w:rsidRPr="00CA4DA0">
        <w:rPr>
          <w:rFonts w:cstheme="minorHAnsi"/>
          <w:sz w:val="24"/>
          <w:szCs w:val="24"/>
        </w:rPr>
        <w:t>half-century</w:t>
      </w:r>
      <w:r w:rsidR="0060749E" w:rsidRPr="00CA4DA0">
        <w:rPr>
          <w:rFonts w:cstheme="minorHAnsi"/>
          <w:sz w:val="24"/>
          <w:szCs w:val="24"/>
        </w:rPr>
        <w:t>.</w:t>
      </w:r>
      <w:r w:rsidR="00547600" w:rsidRPr="00CA4DA0">
        <w:rPr>
          <w:rFonts w:cstheme="minorHAnsi"/>
          <w:sz w:val="24"/>
          <w:szCs w:val="24"/>
        </w:rPr>
        <w:t xml:space="preserve"> (Tymoigne and Wray 2014)</w:t>
      </w:r>
    </w:p>
    <w:p w14:paraId="0E245E61" w14:textId="007FAAD6" w:rsidR="00454CA2" w:rsidRPr="00CA4DA0" w:rsidRDefault="00684136" w:rsidP="003804C3">
      <w:pPr>
        <w:ind w:firstLine="720"/>
        <w:rPr>
          <w:rFonts w:cstheme="minorHAnsi"/>
          <w:sz w:val="24"/>
          <w:szCs w:val="24"/>
        </w:rPr>
      </w:pPr>
      <w:r w:rsidRPr="00CA4DA0">
        <w:rPr>
          <w:rFonts w:cstheme="minorHAnsi"/>
          <w:sz w:val="24"/>
          <w:szCs w:val="24"/>
        </w:rPr>
        <w:t>R</w:t>
      </w:r>
      <w:r w:rsidR="006B6BD9" w:rsidRPr="00CA4DA0">
        <w:rPr>
          <w:rFonts w:cstheme="minorHAnsi"/>
          <w:sz w:val="24"/>
          <w:szCs w:val="24"/>
        </w:rPr>
        <w:t>elated to growing inequalities,</w:t>
      </w:r>
      <w:r w:rsidRPr="00CA4DA0">
        <w:rPr>
          <w:rFonts w:cstheme="minorHAnsi"/>
          <w:sz w:val="24"/>
          <w:szCs w:val="24"/>
        </w:rPr>
        <w:t xml:space="preserve"> another factor </w:t>
      </w:r>
      <w:r w:rsidR="00CA4103" w:rsidRPr="00CA4DA0">
        <w:rPr>
          <w:rFonts w:cstheme="minorHAnsi"/>
          <w:sz w:val="24"/>
          <w:szCs w:val="24"/>
        </w:rPr>
        <w:t>that has</w:t>
      </w:r>
      <w:r w:rsidRPr="00CA4DA0">
        <w:rPr>
          <w:rFonts w:cstheme="minorHAnsi"/>
          <w:sz w:val="24"/>
          <w:szCs w:val="24"/>
        </w:rPr>
        <w:t xml:space="preserve"> led to stagnation</w:t>
      </w:r>
      <w:r w:rsidR="006B6BD9" w:rsidRPr="00CA4DA0">
        <w:rPr>
          <w:rFonts w:cstheme="minorHAnsi"/>
          <w:sz w:val="24"/>
          <w:szCs w:val="24"/>
        </w:rPr>
        <w:t xml:space="preserve"> is the growing jobless</w:t>
      </w:r>
      <w:r w:rsidRPr="00CA4DA0">
        <w:rPr>
          <w:rFonts w:cstheme="minorHAnsi"/>
          <w:sz w:val="24"/>
          <w:szCs w:val="24"/>
        </w:rPr>
        <w:t>ness</w:t>
      </w:r>
      <w:r w:rsidR="006B6BD9" w:rsidRPr="00CA4DA0">
        <w:rPr>
          <w:rFonts w:cstheme="minorHAnsi"/>
          <w:sz w:val="24"/>
          <w:szCs w:val="24"/>
        </w:rPr>
        <w:t xml:space="preserve"> </w:t>
      </w:r>
      <w:r w:rsidR="007B64CD" w:rsidRPr="00CA4DA0">
        <w:rPr>
          <w:rFonts w:cstheme="minorHAnsi"/>
          <w:sz w:val="24"/>
          <w:szCs w:val="24"/>
        </w:rPr>
        <w:t xml:space="preserve">of </w:t>
      </w:r>
      <w:r w:rsidR="006B6BD9" w:rsidRPr="00CA4DA0">
        <w:rPr>
          <w:rFonts w:cstheme="minorHAnsi"/>
          <w:sz w:val="24"/>
          <w:szCs w:val="24"/>
        </w:rPr>
        <w:t xml:space="preserve">economic expansion over the past 40 years. Prior to the 1980s, it took less than </w:t>
      </w:r>
      <w:r w:rsidR="006F3B86" w:rsidRPr="00CA4DA0">
        <w:rPr>
          <w:rFonts w:cstheme="minorHAnsi"/>
          <w:sz w:val="24"/>
          <w:szCs w:val="24"/>
        </w:rPr>
        <w:t xml:space="preserve">two </w:t>
      </w:r>
      <w:r w:rsidR="006B6BD9" w:rsidRPr="00CA4DA0">
        <w:rPr>
          <w:rFonts w:cstheme="minorHAnsi"/>
          <w:sz w:val="24"/>
          <w:szCs w:val="24"/>
        </w:rPr>
        <w:t>years to recover the job</w:t>
      </w:r>
      <w:r w:rsidR="003B4D1D" w:rsidRPr="00CA4DA0">
        <w:rPr>
          <w:rFonts w:cstheme="minorHAnsi"/>
          <w:sz w:val="24"/>
          <w:szCs w:val="24"/>
        </w:rPr>
        <w:t>s</w:t>
      </w:r>
      <w:r w:rsidR="006B6BD9" w:rsidRPr="00CA4DA0">
        <w:rPr>
          <w:rFonts w:cstheme="minorHAnsi"/>
          <w:sz w:val="24"/>
          <w:szCs w:val="24"/>
        </w:rPr>
        <w:t xml:space="preserve"> los</w:t>
      </w:r>
      <w:r w:rsidR="00BA1053" w:rsidRPr="00CA4DA0">
        <w:rPr>
          <w:rFonts w:cstheme="minorHAnsi"/>
          <w:sz w:val="24"/>
          <w:szCs w:val="24"/>
        </w:rPr>
        <w:t>t during a recession</w:t>
      </w:r>
      <w:r w:rsidR="007A3C6B" w:rsidRPr="00CA4DA0">
        <w:rPr>
          <w:rFonts w:cstheme="minorHAnsi"/>
          <w:sz w:val="24"/>
          <w:szCs w:val="24"/>
        </w:rPr>
        <w:t>,</w:t>
      </w:r>
      <w:r w:rsidR="00BA1053" w:rsidRPr="00CA4DA0">
        <w:rPr>
          <w:rFonts w:cstheme="minorHAnsi"/>
          <w:sz w:val="24"/>
          <w:szCs w:val="24"/>
        </w:rPr>
        <w:t xml:space="preserve"> but the past four expansions required more than </w:t>
      </w:r>
      <w:r w:rsidR="006F3B86" w:rsidRPr="00CA4DA0">
        <w:rPr>
          <w:rFonts w:cstheme="minorHAnsi"/>
          <w:sz w:val="24"/>
          <w:szCs w:val="24"/>
        </w:rPr>
        <w:t xml:space="preserve">two </w:t>
      </w:r>
      <w:r w:rsidR="00BA1053" w:rsidRPr="00CA4DA0">
        <w:rPr>
          <w:rFonts w:cstheme="minorHAnsi"/>
          <w:sz w:val="24"/>
          <w:szCs w:val="24"/>
        </w:rPr>
        <w:t>years</w:t>
      </w:r>
      <w:r w:rsidR="00F40B32" w:rsidRPr="00CA4DA0">
        <w:rPr>
          <w:rFonts w:cstheme="minorHAnsi"/>
          <w:sz w:val="24"/>
          <w:szCs w:val="24"/>
        </w:rPr>
        <w:t>.</w:t>
      </w:r>
      <w:r w:rsidR="00FC476A" w:rsidRPr="00CA4DA0">
        <w:rPr>
          <w:rFonts w:cstheme="minorHAnsi"/>
          <w:sz w:val="24"/>
          <w:szCs w:val="24"/>
        </w:rPr>
        <w:t xml:space="preserve"> </w:t>
      </w:r>
      <w:r w:rsidR="00F40B32" w:rsidRPr="00CA4DA0">
        <w:rPr>
          <w:rFonts w:cstheme="minorHAnsi"/>
          <w:sz w:val="24"/>
          <w:szCs w:val="24"/>
        </w:rPr>
        <w:t>T</w:t>
      </w:r>
      <w:r w:rsidR="00BA1053" w:rsidRPr="00CA4DA0">
        <w:rPr>
          <w:rFonts w:cstheme="minorHAnsi"/>
          <w:sz w:val="24"/>
          <w:szCs w:val="24"/>
        </w:rPr>
        <w:t>he job</w:t>
      </w:r>
      <w:r w:rsidR="00B97FA0" w:rsidRPr="00CA4DA0">
        <w:rPr>
          <w:rFonts w:cstheme="minorHAnsi"/>
          <w:sz w:val="24"/>
          <w:szCs w:val="24"/>
        </w:rPr>
        <w:t>s</w:t>
      </w:r>
      <w:r w:rsidR="00BA1053" w:rsidRPr="00CA4DA0">
        <w:rPr>
          <w:rFonts w:cstheme="minorHAnsi"/>
          <w:sz w:val="24"/>
          <w:szCs w:val="24"/>
        </w:rPr>
        <w:t xml:space="preserve"> </w:t>
      </w:r>
      <w:r w:rsidR="00B97FA0" w:rsidRPr="00CA4DA0">
        <w:rPr>
          <w:rFonts w:cstheme="minorHAnsi"/>
          <w:sz w:val="24"/>
          <w:szCs w:val="24"/>
        </w:rPr>
        <w:t>lost during</w:t>
      </w:r>
      <w:r w:rsidR="00BA1053" w:rsidRPr="00CA4DA0">
        <w:rPr>
          <w:rFonts w:cstheme="minorHAnsi"/>
          <w:sz w:val="24"/>
          <w:szCs w:val="24"/>
        </w:rPr>
        <w:t xml:space="preserve"> </w:t>
      </w:r>
      <w:r w:rsidR="00F83E10" w:rsidRPr="00CA4DA0">
        <w:rPr>
          <w:rFonts w:cstheme="minorHAnsi"/>
          <w:sz w:val="24"/>
          <w:szCs w:val="24"/>
        </w:rPr>
        <w:t xml:space="preserve">the minor 2001 recession </w:t>
      </w:r>
      <w:r w:rsidR="00F40B32" w:rsidRPr="00CA4DA0">
        <w:rPr>
          <w:rFonts w:cstheme="minorHAnsi"/>
          <w:sz w:val="24"/>
          <w:szCs w:val="24"/>
        </w:rPr>
        <w:t>were regained after four</w:t>
      </w:r>
      <w:r w:rsidR="00F83E10" w:rsidRPr="00CA4DA0">
        <w:rPr>
          <w:rFonts w:cstheme="minorHAnsi"/>
          <w:sz w:val="24"/>
          <w:szCs w:val="24"/>
        </w:rPr>
        <w:t xml:space="preserve"> years. </w:t>
      </w:r>
      <w:r w:rsidR="00E20A14" w:rsidRPr="00CA4DA0">
        <w:rPr>
          <w:rFonts w:cstheme="minorHAnsi"/>
          <w:sz w:val="24"/>
          <w:szCs w:val="24"/>
        </w:rPr>
        <w:t>The j</w:t>
      </w:r>
      <w:r w:rsidR="00F83E10" w:rsidRPr="00CA4DA0">
        <w:rPr>
          <w:rFonts w:cstheme="minorHAnsi"/>
          <w:sz w:val="24"/>
          <w:szCs w:val="24"/>
        </w:rPr>
        <w:t xml:space="preserve">ob losses of </w:t>
      </w:r>
      <w:r w:rsidR="00BA1053" w:rsidRPr="00CA4DA0">
        <w:rPr>
          <w:rFonts w:cstheme="minorHAnsi"/>
          <w:sz w:val="24"/>
          <w:szCs w:val="24"/>
        </w:rPr>
        <w:t xml:space="preserve">the Great Recession </w:t>
      </w:r>
      <w:r w:rsidR="00F83E10" w:rsidRPr="00CA4DA0">
        <w:rPr>
          <w:rFonts w:cstheme="minorHAnsi"/>
          <w:sz w:val="24"/>
          <w:szCs w:val="24"/>
        </w:rPr>
        <w:t>took</w:t>
      </w:r>
      <w:r w:rsidR="00BA1053" w:rsidRPr="00CA4DA0">
        <w:rPr>
          <w:rFonts w:cstheme="minorHAnsi"/>
          <w:sz w:val="24"/>
          <w:szCs w:val="24"/>
        </w:rPr>
        <w:t xml:space="preserve"> </w:t>
      </w:r>
      <w:r w:rsidR="006F3B86" w:rsidRPr="00CA4DA0">
        <w:rPr>
          <w:rFonts w:cstheme="minorHAnsi"/>
          <w:sz w:val="24"/>
          <w:szCs w:val="24"/>
        </w:rPr>
        <w:t xml:space="preserve">six </w:t>
      </w:r>
      <w:r w:rsidR="00BA1053" w:rsidRPr="00CA4DA0">
        <w:rPr>
          <w:rFonts w:cstheme="minorHAnsi"/>
          <w:sz w:val="24"/>
          <w:szCs w:val="24"/>
        </w:rPr>
        <w:t>years</w:t>
      </w:r>
      <w:r w:rsidR="00F83E10" w:rsidRPr="00CA4DA0">
        <w:rPr>
          <w:rFonts w:cstheme="minorHAnsi"/>
          <w:sz w:val="24"/>
          <w:szCs w:val="24"/>
        </w:rPr>
        <w:t xml:space="preserve"> to </w:t>
      </w:r>
      <w:r w:rsidR="00F40B32" w:rsidRPr="00CA4DA0">
        <w:rPr>
          <w:rFonts w:cstheme="minorHAnsi"/>
          <w:sz w:val="24"/>
          <w:szCs w:val="24"/>
        </w:rPr>
        <w:t>be eliminated</w:t>
      </w:r>
      <w:r w:rsidR="00BA1053" w:rsidRPr="00CA4DA0">
        <w:rPr>
          <w:rFonts w:cstheme="minorHAnsi"/>
          <w:sz w:val="24"/>
          <w:szCs w:val="24"/>
        </w:rPr>
        <w:t xml:space="preserve">. </w:t>
      </w:r>
      <w:r w:rsidRPr="00CA4DA0">
        <w:rPr>
          <w:rFonts w:cstheme="minorHAnsi"/>
          <w:sz w:val="24"/>
          <w:szCs w:val="24"/>
        </w:rPr>
        <w:t>One has to g</w:t>
      </w:r>
      <w:r w:rsidR="0021209F" w:rsidRPr="00CA4DA0">
        <w:rPr>
          <w:rFonts w:cstheme="minorHAnsi"/>
          <w:sz w:val="24"/>
          <w:szCs w:val="24"/>
        </w:rPr>
        <w:t xml:space="preserve">o back to </w:t>
      </w:r>
      <w:r w:rsidR="00237489">
        <w:rPr>
          <w:rFonts w:cstheme="minorHAnsi"/>
          <w:sz w:val="24"/>
          <w:szCs w:val="24"/>
        </w:rPr>
        <w:t xml:space="preserve">the Great Depression </w:t>
      </w:r>
      <w:r w:rsidRPr="00CA4DA0">
        <w:rPr>
          <w:rFonts w:cstheme="minorHAnsi"/>
          <w:sz w:val="24"/>
          <w:szCs w:val="24"/>
        </w:rPr>
        <w:t xml:space="preserve">to see a longer period of recovery. </w:t>
      </w:r>
      <w:r w:rsidR="00C06E2F" w:rsidRPr="00CA4DA0">
        <w:rPr>
          <w:rFonts w:cstheme="minorHAnsi"/>
          <w:sz w:val="24"/>
          <w:szCs w:val="24"/>
        </w:rPr>
        <w:t>Not only has it taken more time to recover from recession</w:t>
      </w:r>
      <w:r w:rsidR="007B64CD" w:rsidRPr="00CA4DA0">
        <w:rPr>
          <w:rFonts w:cstheme="minorHAnsi"/>
          <w:sz w:val="24"/>
          <w:szCs w:val="24"/>
        </w:rPr>
        <w:t>s</w:t>
      </w:r>
      <w:r w:rsidR="007206C0" w:rsidRPr="00CA4DA0">
        <w:rPr>
          <w:rFonts w:cstheme="minorHAnsi"/>
          <w:sz w:val="24"/>
          <w:szCs w:val="24"/>
        </w:rPr>
        <w:t>,</w:t>
      </w:r>
      <w:r w:rsidR="00C06E2F" w:rsidRPr="00CA4DA0">
        <w:rPr>
          <w:rFonts w:cstheme="minorHAnsi"/>
          <w:sz w:val="24"/>
          <w:szCs w:val="24"/>
        </w:rPr>
        <w:t xml:space="preserve"> but </w:t>
      </w:r>
      <w:r w:rsidR="007206C0" w:rsidRPr="00CA4DA0">
        <w:rPr>
          <w:rFonts w:cstheme="minorHAnsi"/>
          <w:sz w:val="24"/>
          <w:szCs w:val="24"/>
        </w:rPr>
        <w:t xml:space="preserve">also </w:t>
      </w:r>
      <w:r w:rsidR="00C06E2F" w:rsidRPr="00CA4DA0">
        <w:rPr>
          <w:rFonts w:cstheme="minorHAnsi"/>
          <w:sz w:val="24"/>
          <w:szCs w:val="24"/>
        </w:rPr>
        <w:t xml:space="preserve">job precariousness has grown </w:t>
      </w:r>
      <w:r w:rsidRPr="00CA4DA0">
        <w:rPr>
          <w:rFonts w:cstheme="minorHAnsi"/>
          <w:sz w:val="24"/>
          <w:szCs w:val="24"/>
        </w:rPr>
        <w:t xml:space="preserve">with job quality falling constantly since data </w:t>
      </w:r>
      <w:r w:rsidR="000F7AC0">
        <w:rPr>
          <w:rFonts w:cstheme="minorHAnsi"/>
          <w:sz w:val="24"/>
          <w:szCs w:val="24"/>
        </w:rPr>
        <w:t>became</w:t>
      </w:r>
      <w:r w:rsidRPr="00CA4DA0">
        <w:rPr>
          <w:rFonts w:cstheme="minorHAnsi"/>
          <w:sz w:val="24"/>
          <w:szCs w:val="24"/>
        </w:rPr>
        <w:t xml:space="preserve"> available</w:t>
      </w:r>
      <w:r w:rsidR="00237489">
        <w:rPr>
          <w:rFonts w:cstheme="minorHAnsi"/>
          <w:sz w:val="24"/>
          <w:szCs w:val="24"/>
        </w:rPr>
        <w:t xml:space="preserve"> in 1991</w:t>
      </w:r>
      <w:r w:rsidRPr="00CA4DA0">
        <w:rPr>
          <w:rFonts w:cstheme="minorHAnsi"/>
          <w:sz w:val="24"/>
          <w:szCs w:val="24"/>
        </w:rPr>
        <w:t xml:space="preserve">. Jobs have become more insecure, more intermittent and </w:t>
      </w:r>
      <w:r w:rsidR="00CA4103" w:rsidRPr="00CA4DA0">
        <w:rPr>
          <w:rFonts w:cstheme="minorHAnsi"/>
          <w:sz w:val="24"/>
          <w:szCs w:val="24"/>
        </w:rPr>
        <w:t>have not</w:t>
      </w:r>
      <w:r w:rsidRPr="00CA4DA0">
        <w:rPr>
          <w:rFonts w:cstheme="minorHAnsi"/>
          <w:sz w:val="24"/>
          <w:szCs w:val="24"/>
        </w:rPr>
        <w:t xml:space="preserve"> provided the same salary and benefits as they used to.</w:t>
      </w:r>
    </w:p>
    <w:p w14:paraId="244572FA" w14:textId="2A795AC0" w:rsidR="0001700D" w:rsidRPr="00CA4DA0" w:rsidRDefault="007A3C6B" w:rsidP="003804C3">
      <w:pPr>
        <w:ind w:firstLine="720"/>
        <w:rPr>
          <w:rFonts w:cstheme="minorHAnsi"/>
          <w:sz w:val="24"/>
          <w:szCs w:val="24"/>
          <w:vertAlign w:val="superscript"/>
        </w:rPr>
      </w:pPr>
      <w:r w:rsidRPr="00CA4DA0">
        <w:rPr>
          <w:rFonts w:cstheme="minorHAnsi"/>
          <w:sz w:val="24"/>
          <w:szCs w:val="24"/>
        </w:rPr>
        <w:t>Finally</w:t>
      </w:r>
      <w:r w:rsidR="00FD2FB5" w:rsidRPr="00CA4DA0">
        <w:rPr>
          <w:rFonts w:cstheme="minorHAnsi"/>
          <w:sz w:val="24"/>
          <w:szCs w:val="24"/>
        </w:rPr>
        <w:t xml:space="preserve">, </w:t>
      </w:r>
      <w:r w:rsidR="00CA4103" w:rsidRPr="00CA4DA0">
        <w:rPr>
          <w:rFonts w:cstheme="minorHAnsi"/>
          <w:sz w:val="24"/>
          <w:szCs w:val="24"/>
        </w:rPr>
        <w:t>there has</w:t>
      </w:r>
      <w:r w:rsidR="00E97E3D">
        <w:rPr>
          <w:rFonts w:cstheme="minorHAnsi"/>
          <w:sz w:val="24"/>
          <w:szCs w:val="24"/>
        </w:rPr>
        <w:t xml:space="preserve"> been a marked decline in the</w:t>
      </w:r>
      <w:r w:rsidR="00C06E2F" w:rsidRPr="00CA4DA0">
        <w:rPr>
          <w:rFonts w:cstheme="minorHAnsi"/>
          <w:sz w:val="24"/>
          <w:szCs w:val="24"/>
        </w:rPr>
        <w:t xml:space="preserve"> </w:t>
      </w:r>
      <w:r w:rsidR="00237489">
        <w:rPr>
          <w:rFonts w:cstheme="minorHAnsi"/>
          <w:sz w:val="24"/>
          <w:szCs w:val="24"/>
        </w:rPr>
        <w:t>growth</w:t>
      </w:r>
      <w:r w:rsidR="00C06E2F" w:rsidRPr="00CA4DA0">
        <w:rPr>
          <w:rFonts w:cstheme="minorHAnsi"/>
          <w:sz w:val="24"/>
          <w:szCs w:val="24"/>
        </w:rPr>
        <w:t xml:space="preserve"> </w:t>
      </w:r>
      <w:r w:rsidR="00E97E3D">
        <w:rPr>
          <w:rFonts w:cstheme="minorHAnsi"/>
          <w:sz w:val="24"/>
          <w:szCs w:val="24"/>
        </w:rPr>
        <w:t>rate of investment</w:t>
      </w:r>
      <w:r w:rsidR="00C06E2F" w:rsidRPr="00CA4DA0">
        <w:rPr>
          <w:rFonts w:cstheme="minorHAnsi"/>
          <w:sz w:val="24"/>
          <w:szCs w:val="24"/>
        </w:rPr>
        <w:t xml:space="preserve">. This is true not only for </w:t>
      </w:r>
      <w:r w:rsidR="0021209F" w:rsidRPr="00CA4DA0">
        <w:rPr>
          <w:rFonts w:cstheme="minorHAnsi"/>
          <w:sz w:val="24"/>
          <w:szCs w:val="24"/>
        </w:rPr>
        <w:t>business</w:t>
      </w:r>
      <w:r w:rsidR="00C06E2F" w:rsidRPr="00CA4DA0">
        <w:rPr>
          <w:rFonts w:cstheme="minorHAnsi"/>
          <w:sz w:val="24"/>
          <w:szCs w:val="24"/>
        </w:rPr>
        <w:t xml:space="preserve"> investment but also for </w:t>
      </w:r>
      <w:r w:rsidR="0021209F" w:rsidRPr="00CA4DA0">
        <w:rPr>
          <w:rFonts w:cstheme="minorHAnsi"/>
          <w:sz w:val="24"/>
          <w:szCs w:val="24"/>
        </w:rPr>
        <w:t xml:space="preserve">public </w:t>
      </w:r>
      <w:r w:rsidR="00FD2FB5" w:rsidRPr="00CA4DA0">
        <w:rPr>
          <w:rFonts w:cstheme="minorHAnsi"/>
          <w:sz w:val="24"/>
          <w:szCs w:val="24"/>
        </w:rPr>
        <w:t>infrastructure</w:t>
      </w:r>
      <w:r w:rsidR="00C06E2F" w:rsidRPr="00CA4DA0">
        <w:rPr>
          <w:rFonts w:cstheme="minorHAnsi"/>
          <w:sz w:val="24"/>
          <w:szCs w:val="24"/>
        </w:rPr>
        <w:t xml:space="preserve"> investment. On the business </w:t>
      </w:r>
      <w:r w:rsidR="00C06E2F" w:rsidRPr="00CA4DA0">
        <w:rPr>
          <w:rFonts w:cstheme="minorHAnsi"/>
          <w:sz w:val="24"/>
          <w:szCs w:val="24"/>
        </w:rPr>
        <w:lastRenderedPageBreak/>
        <w:t>investment side, profit</w:t>
      </w:r>
      <w:r w:rsidR="00FA4165" w:rsidRPr="00CA4DA0">
        <w:rPr>
          <w:rFonts w:cstheme="minorHAnsi"/>
          <w:sz w:val="24"/>
          <w:szCs w:val="24"/>
        </w:rPr>
        <w:t>s</w:t>
      </w:r>
      <w:r w:rsidR="00C06E2F" w:rsidRPr="00CA4DA0">
        <w:rPr>
          <w:rFonts w:cstheme="minorHAnsi"/>
          <w:sz w:val="24"/>
          <w:szCs w:val="24"/>
        </w:rPr>
        <w:t xml:space="preserve"> have </w:t>
      </w:r>
      <w:r w:rsidR="00E97E3D">
        <w:rPr>
          <w:rFonts w:cstheme="minorHAnsi"/>
          <w:sz w:val="24"/>
          <w:szCs w:val="24"/>
        </w:rPr>
        <w:t>grown rapidly</w:t>
      </w:r>
      <w:r w:rsidR="00B97FA0" w:rsidRPr="00CA4DA0">
        <w:rPr>
          <w:rFonts w:cstheme="minorHAnsi"/>
          <w:sz w:val="24"/>
          <w:szCs w:val="24"/>
        </w:rPr>
        <w:t xml:space="preserve"> but </w:t>
      </w:r>
      <w:r w:rsidR="00E97E3D">
        <w:rPr>
          <w:rFonts w:cstheme="minorHAnsi"/>
          <w:sz w:val="24"/>
          <w:szCs w:val="24"/>
        </w:rPr>
        <w:t>investment growth has slowed</w:t>
      </w:r>
      <w:r w:rsidR="006F3B86" w:rsidRPr="00CA4DA0">
        <w:rPr>
          <w:rFonts w:cstheme="minorHAnsi"/>
          <w:sz w:val="24"/>
          <w:szCs w:val="24"/>
        </w:rPr>
        <w:t>,</w:t>
      </w:r>
      <w:r w:rsidR="00C06E2F" w:rsidRPr="00CA4DA0">
        <w:rPr>
          <w:rFonts w:cstheme="minorHAnsi"/>
          <w:sz w:val="24"/>
          <w:szCs w:val="24"/>
        </w:rPr>
        <w:t xml:space="preserve"> and a growing proportion of profit has come from financial income</w:t>
      </w:r>
      <w:r w:rsidR="00547600" w:rsidRPr="00CA4DA0">
        <w:rPr>
          <w:rFonts w:cstheme="minorHAnsi"/>
          <w:sz w:val="24"/>
          <w:szCs w:val="24"/>
        </w:rPr>
        <w:t xml:space="preserve"> (Tori and Onaran 2017)</w:t>
      </w:r>
      <w:r w:rsidR="00C06E2F" w:rsidRPr="00CA4DA0">
        <w:rPr>
          <w:rFonts w:cstheme="minorHAnsi"/>
          <w:sz w:val="24"/>
          <w:szCs w:val="24"/>
        </w:rPr>
        <w:t xml:space="preserve">. </w:t>
      </w:r>
      <w:r w:rsidR="00C02109" w:rsidRPr="00CA4DA0">
        <w:rPr>
          <w:rFonts w:cstheme="minorHAnsi"/>
          <w:sz w:val="24"/>
          <w:szCs w:val="24"/>
        </w:rPr>
        <w:t xml:space="preserve">On the infrastructure side, </w:t>
      </w:r>
      <w:r w:rsidR="00F232F3">
        <w:rPr>
          <w:rFonts w:cstheme="minorHAnsi"/>
          <w:sz w:val="24"/>
          <w:szCs w:val="24"/>
        </w:rPr>
        <w:t xml:space="preserve">public </w:t>
      </w:r>
      <w:r w:rsidR="00C02109" w:rsidRPr="00CA4DA0">
        <w:rPr>
          <w:rFonts w:cstheme="minorHAnsi"/>
          <w:sz w:val="24"/>
          <w:szCs w:val="24"/>
        </w:rPr>
        <w:t xml:space="preserve">investment </w:t>
      </w:r>
      <w:r w:rsidR="00CA4103" w:rsidRPr="00CA4DA0">
        <w:rPr>
          <w:rFonts w:cstheme="minorHAnsi"/>
          <w:sz w:val="24"/>
          <w:szCs w:val="24"/>
        </w:rPr>
        <w:t>has not</w:t>
      </w:r>
      <w:r w:rsidR="00C02109" w:rsidRPr="00CA4DA0">
        <w:rPr>
          <w:rFonts w:cstheme="minorHAnsi"/>
          <w:sz w:val="24"/>
          <w:szCs w:val="24"/>
        </w:rPr>
        <w:t xml:space="preserve"> kept up with the needs of the economy</w:t>
      </w:r>
      <w:r w:rsidR="006F3B86" w:rsidRPr="00CA4DA0">
        <w:rPr>
          <w:rFonts w:cstheme="minorHAnsi"/>
          <w:sz w:val="24"/>
          <w:szCs w:val="24"/>
        </w:rPr>
        <w:t>,</w:t>
      </w:r>
      <w:r w:rsidR="00C02109" w:rsidRPr="00CA4DA0">
        <w:rPr>
          <w:rFonts w:cstheme="minorHAnsi"/>
          <w:sz w:val="24"/>
          <w:szCs w:val="24"/>
        </w:rPr>
        <w:t xml:space="preserve"> and maintenance has been poor</w:t>
      </w:r>
      <w:r w:rsidRPr="00CA4DA0">
        <w:rPr>
          <w:rFonts w:cstheme="minorHAnsi"/>
          <w:sz w:val="24"/>
          <w:szCs w:val="24"/>
        </w:rPr>
        <w:t>,</w:t>
      </w:r>
      <w:r w:rsidR="00C02109" w:rsidRPr="00CA4DA0">
        <w:rPr>
          <w:rFonts w:cstheme="minorHAnsi"/>
          <w:sz w:val="24"/>
          <w:szCs w:val="24"/>
        </w:rPr>
        <w:t xml:space="preserve"> leading to low quality infrastructure in the </w:t>
      </w:r>
      <w:r w:rsidR="00FD2FB5" w:rsidRPr="00CA4DA0">
        <w:rPr>
          <w:rFonts w:cstheme="minorHAnsi"/>
          <w:sz w:val="24"/>
          <w:szCs w:val="24"/>
        </w:rPr>
        <w:t>United States</w:t>
      </w:r>
      <w:r w:rsidR="00C02109" w:rsidRPr="00CA4DA0">
        <w:rPr>
          <w:rFonts w:cstheme="minorHAnsi"/>
          <w:sz w:val="24"/>
          <w:szCs w:val="24"/>
        </w:rPr>
        <w:t>. The</w:t>
      </w:r>
      <w:r w:rsidR="0021209F" w:rsidRPr="00CA4DA0">
        <w:rPr>
          <w:rFonts w:cstheme="minorHAnsi"/>
          <w:i/>
          <w:sz w:val="24"/>
          <w:szCs w:val="24"/>
        </w:rPr>
        <w:t xml:space="preserve"> Infrastructure Report</w:t>
      </w:r>
      <w:r w:rsidR="00FA4165" w:rsidRPr="00CA4DA0">
        <w:rPr>
          <w:rFonts w:cstheme="minorHAnsi"/>
          <w:i/>
          <w:sz w:val="24"/>
          <w:szCs w:val="24"/>
        </w:rPr>
        <w:t xml:space="preserve"> Card</w:t>
      </w:r>
      <w:r w:rsidR="0021209F" w:rsidRPr="00CA4DA0">
        <w:rPr>
          <w:rFonts w:cstheme="minorHAnsi"/>
          <w:i/>
          <w:sz w:val="24"/>
          <w:szCs w:val="24"/>
        </w:rPr>
        <w:t xml:space="preserve"> </w:t>
      </w:r>
      <w:r w:rsidR="0021209F" w:rsidRPr="00CA4DA0">
        <w:rPr>
          <w:rFonts w:cstheme="minorHAnsi"/>
          <w:sz w:val="24"/>
          <w:szCs w:val="24"/>
        </w:rPr>
        <w:t>published by the</w:t>
      </w:r>
      <w:r w:rsidR="00C02109" w:rsidRPr="00CA4DA0">
        <w:rPr>
          <w:rFonts w:cstheme="minorHAnsi"/>
          <w:sz w:val="24"/>
          <w:szCs w:val="24"/>
        </w:rPr>
        <w:t xml:space="preserve"> American Society of Civil Engineers </w:t>
      </w:r>
      <w:r w:rsidR="007206C0" w:rsidRPr="00CA4DA0">
        <w:rPr>
          <w:rFonts w:cstheme="minorHAnsi"/>
          <w:sz w:val="24"/>
          <w:szCs w:val="24"/>
        </w:rPr>
        <w:t>has</w:t>
      </w:r>
      <w:r w:rsidR="00C02109" w:rsidRPr="00CA4DA0">
        <w:rPr>
          <w:rFonts w:cstheme="minorHAnsi"/>
          <w:sz w:val="24"/>
          <w:szCs w:val="24"/>
        </w:rPr>
        <w:t xml:space="preserve"> </w:t>
      </w:r>
      <w:r w:rsidR="00FE2D07" w:rsidRPr="00CA4DA0">
        <w:rPr>
          <w:rFonts w:cstheme="minorHAnsi"/>
          <w:sz w:val="24"/>
          <w:szCs w:val="24"/>
        </w:rPr>
        <w:t>cons</w:t>
      </w:r>
      <w:r w:rsidR="00FE2D07">
        <w:rPr>
          <w:rFonts w:cstheme="minorHAnsi"/>
          <w:sz w:val="24"/>
          <w:szCs w:val="24"/>
        </w:rPr>
        <w:t>is</w:t>
      </w:r>
      <w:r w:rsidR="00FE2D07" w:rsidRPr="00CA4DA0">
        <w:rPr>
          <w:rFonts w:cstheme="minorHAnsi"/>
          <w:sz w:val="24"/>
          <w:szCs w:val="24"/>
        </w:rPr>
        <w:t>tently</w:t>
      </w:r>
      <w:r w:rsidR="00C02109" w:rsidRPr="00CA4DA0">
        <w:rPr>
          <w:rFonts w:cstheme="minorHAnsi"/>
          <w:sz w:val="24"/>
          <w:szCs w:val="24"/>
        </w:rPr>
        <w:t xml:space="preserve"> graded U</w:t>
      </w:r>
      <w:r w:rsidR="006F3B86" w:rsidRPr="00CA4DA0">
        <w:rPr>
          <w:rFonts w:cstheme="minorHAnsi"/>
          <w:sz w:val="24"/>
          <w:szCs w:val="24"/>
        </w:rPr>
        <w:t>.</w:t>
      </w:r>
      <w:r w:rsidR="00C02109" w:rsidRPr="00CA4DA0">
        <w:rPr>
          <w:rFonts w:cstheme="minorHAnsi"/>
          <w:sz w:val="24"/>
          <w:szCs w:val="24"/>
        </w:rPr>
        <w:t>S</w:t>
      </w:r>
      <w:r w:rsidR="006F3B86" w:rsidRPr="00CA4DA0">
        <w:rPr>
          <w:rFonts w:cstheme="minorHAnsi"/>
          <w:sz w:val="24"/>
          <w:szCs w:val="24"/>
        </w:rPr>
        <w:t>.</w:t>
      </w:r>
      <w:r w:rsidR="00C02109" w:rsidRPr="00CA4DA0">
        <w:rPr>
          <w:rFonts w:cstheme="minorHAnsi"/>
          <w:sz w:val="24"/>
          <w:szCs w:val="24"/>
        </w:rPr>
        <w:t xml:space="preserve"> infrastructure around </w:t>
      </w:r>
      <w:r w:rsidR="006F3B86" w:rsidRPr="00CA4DA0">
        <w:rPr>
          <w:rFonts w:cstheme="minorHAnsi"/>
          <w:sz w:val="24"/>
          <w:szCs w:val="24"/>
        </w:rPr>
        <w:t>“</w:t>
      </w:r>
      <w:r w:rsidR="00C02109" w:rsidRPr="00CA4DA0">
        <w:rPr>
          <w:rFonts w:cstheme="minorHAnsi"/>
          <w:sz w:val="24"/>
          <w:szCs w:val="24"/>
        </w:rPr>
        <w:t>D</w:t>
      </w:r>
      <w:r w:rsidR="006F3B86" w:rsidRPr="00CA4DA0">
        <w:rPr>
          <w:rFonts w:cstheme="minorHAnsi"/>
          <w:sz w:val="24"/>
          <w:szCs w:val="24"/>
        </w:rPr>
        <w:t>”</w:t>
      </w:r>
      <w:r w:rsidR="00C02109" w:rsidRPr="00CA4DA0">
        <w:rPr>
          <w:rFonts w:cstheme="minorHAnsi"/>
          <w:sz w:val="24"/>
          <w:szCs w:val="24"/>
        </w:rPr>
        <w:t xml:space="preserve"> for the</w:t>
      </w:r>
      <w:r w:rsidR="007C545A" w:rsidRPr="00CA4DA0">
        <w:rPr>
          <w:rFonts w:cstheme="minorHAnsi"/>
          <w:sz w:val="24"/>
          <w:szCs w:val="24"/>
        </w:rPr>
        <w:t xml:space="preserve"> past three decades, which has generated millions of job loss</w:t>
      </w:r>
      <w:r w:rsidR="00463A16">
        <w:rPr>
          <w:rFonts w:cstheme="minorHAnsi"/>
          <w:sz w:val="24"/>
          <w:szCs w:val="24"/>
        </w:rPr>
        <w:t>es</w:t>
      </w:r>
      <w:r w:rsidR="007C545A" w:rsidRPr="00CA4DA0">
        <w:rPr>
          <w:rFonts w:cstheme="minorHAnsi"/>
          <w:sz w:val="24"/>
          <w:szCs w:val="24"/>
        </w:rPr>
        <w:t xml:space="preserve"> and thousands of dollars of income loss</w:t>
      </w:r>
      <w:r w:rsidR="00F40B32" w:rsidRPr="00CA4DA0">
        <w:rPr>
          <w:rFonts w:cstheme="minorHAnsi"/>
          <w:sz w:val="24"/>
          <w:szCs w:val="24"/>
        </w:rPr>
        <w:t xml:space="preserve"> for U.S. households</w:t>
      </w:r>
      <w:r w:rsidR="004540C9" w:rsidRPr="00CA4DA0">
        <w:rPr>
          <w:rFonts w:cstheme="minorHAnsi"/>
          <w:sz w:val="24"/>
          <w:szCs w:val="24"/>
        </w:rPr>
        <w:t xml:space="preserve"> (American Society of Civil Engineers 2016)</w:t>
      </w:r>
      <w:r w:rsidR="00D01D57" w:rsidRPr="00CA4DA0">
        <w:rPr>
          <w:rFonts w:cstheme="minorHAnsi"/>
          <w:sz w:val="24"/>
          <w:szCs w:val="24"/>
        </w:rPr>
        <w:t>.</w:t>
      </w:r>
    </w:p>
    <w:p w14:paraId="17589C17" w14:textId="3DB0E4DE" w:rsidR="00925D61" w:rsidRPr="00CA4DA0" w:rsidRDefault="00AE6A80" w:rsidP="003804C3">
      <w:pPr>
        <w:ind w:firstLine="720"/>
        <w:rPr>
          <w:rFonts w:cstheme="minorHAnsi"/>
          <w:sz w:val="24"/>
          <w:szCs w:val="24"/>
        </w:rPr>
      </w:pPr>
      <w:r w:rsidRPr="00CA4DA0">
        <w:rPr>
          <w:rFonts w:cstheme="minorHAnsi"/>
          <w:sz w:val="24"/>
          <w:szCs w:val="24"/>
        </w:rPr>
        <w:t>Unless major changes in economic pol</w:t>
      </w:r>
      <w:r w:rsidR="00D4540B" w:rsidRPr="00CA4DA0">
        <w:rPr>
          <w:rFonts w:cstheme="minorHAnsi"/>
          <w:sz w:val="24"/>
          <w:szCs w:val="24"/>
        </w:rPr>
        <w:t>icy occur</w:t>
      </w:r>
      <w:r w:rsidRPr="00CA4DA0">
        <w:rPr>
          <w:rFonts w:cstheme="minorHAnsi"/>
          <w:sz w:val="24"/>
          <w:szCs w:val="24"/>
        </w:rPr>
        <w:t xml:space="preserve"> to counter </w:t>
      </w:r>
      <w:r w:rsidR="001D4BB2" w:rsidRPr="00CA4DA0">
        <w:rPr>
          <w:rFonts w:cstheme="minorHAnsi"/>
          <w:sz w:val="24"/>
          <w:szCs w:val="24"/>
        </w:rPr>
        <w:t>the previous trend</w:t>
      </w:r>
      <w:r w:rsidR="0021209F" w:rsidRPr="00CA4DA0">
        <w:rPr>
          <w:rFonts w:cstheme="minorHAnsi"/>
          <w:sz w:val="24"/>
          <w:szCs w:val="24"/>
        </w:rPr>
        <w:t>s</w:t>
      </w:r>
      <w:r w:rsidR="001D4BB2" w:rsidRPr="00CA4DA0">
        <w:rPr>
          <w:rFonts w:cstheme="minorHAnsi"/>
          <w:sz w:val="24"/>
          <w:szCs w:val="24"/>
        </w:rPr>
        <w:t xml:space="preserve">, the </w:t>
      </w:r>
      <w:r w:rsidR="007206C0" w:rsidRPr="00CA4DA0">
        <w:rPr>
          <w:rFonts w:cstheme="minorHAnsi"/>
          <w:sz w:val="24"/>
          <w:szCs w:val="24"/>
        </w:rPr>
        <w:t>economy will</w:t>
      </w:r>
      <w:r w:rsidR="00D01D57" w:rsidRPr="00CA4DA0">
        <w:rPr>
          <w:rFonts w:cstheme="minorHAnsi"/>
          <w:sz w:val="24"/>
          <w:szCs w:val="24"/>
        </w:rPr>
        <w:t xml:space="preserve"> </w:t>
      </w:r>
      <w:r w:rsidR="00F232F3">
        <w:rPr>
          <w:rFonts w:cstheme="minorHAnsi"/>
          <w:sz w:val="24"/>
          <w:szCs w:val="24"/>
        </w:rPr>
        <w:t xml:space="preserve">continue to </w:t>
      </w:r>
      <w:r w:rsidR="00D01D57" w:rsidRPr="00CA4DA0">
        <w:rPr>
          <w:rFonts w:cstheme="minorHAnsi"/>
          <w:sz w:val="24"/>
          <w:szCs w:val="24"/>
        </w:rPr>
        <w:t>record l</w:t>
      </w:r>
      <w:r w:rsidR="001D4BB2" w:rsidRPr="00CA4DA0">
        <w:rPr>
          <w:rFonts w:cstheme="minorHAnsi"/>
          <w:sz w:val="24"/>
          <w:szCs w:val="24"/>
        </w:rPr>
        <w:t xml:space="preserve">ow growth, low-inflation, </w:t>
      </w:r>
      <w:r w:rsidR="00FD2FB5" w:rsidRPr="00CA4DA0">
        <w:rPr>
          <w:rFonts w:cstheme="minorHAnsi"/>
          <w:sz w:val="24"/>
          <w:szCs w:val="24"/>
        </w:rPr>
        <w:t>growing inequalities</w:t>
      </w:r>
      <w:r w:rsidR="001D4BB2" w:rsidRPr="00CA4DA0">
        <w:rPr>
          <w:rFonts w:cstheme="minorHAnsi"/>
          <w:sz w:val="24"/>
          <w:szCs w:val="24"/>
        </w:rPr>
        <w:t xml:space="preserve"> and growing precariousness of employment</w:t>
      </w:r>
      <w:r w:rsidR="00FD2FB5" w:rsidRPr="00CA4DA0">
        <w:rPr>
          <w:rFonts w:cstheme="minorHAnsi"/>
          <w:sz w:val="24"/>
          <w:szCs w:val="24"/>
        </w:rPr>
        <w:t xml:space="preserve"> </w:t>
      </w:r>
      <w:r w:rsidR="00D01D57" w:rsidRPr="00CA4DA0">
        <w:rPr>
          <w:rFonts w:cstheme="minorHAnsi"/>
          <w:sz w:val="24"/>
          <w:szCs w:val="24"/>
        </w:rPr>
        <w:t xml:space="preserve">for </w:t>
      </w:r>
      <w:r w:rsidR="00FD2FB5" w:rsidRPr="00CA4DA0">
        <w:rPr>
          <w:rFonts w:cstheme="minorHAnsi"/>
          <w:sz w:val="24"/>
          <w:szCs w:val="24"/>
        </w:rPr>
        <w:t>the upcoming decades</w:t>
      </w:r>
      <w:r w:rsidR="00085BFB" w:rsidRPr="00CA4DA0">
        <w:rPr>
          <w:rFonts w:cstheme="minorHAnsi"/>
          <w:sz w:val="24"/>
          <w:szCs w:val="24"/>
        </w:rPr>
        <w:t xml:space="preserve">. </w:t>
      </w:r>
      <w:r w:rsidR="001D4BB2" w:rsidRPr="00CA4DA0">
        <w:rPr>
          <w:rFonts w:cstheme="minorHAnsi"/>
          <w:sz w:val="24"/>
          <w:szCs w:val="24"/>
        </w:rPr>
        <w:t>All these elements</w:t>
      </w:r>
      <w:r w:rsidR="00085BFB" w:rsidRPr="00CA4DA0">
        <w:rPr>
          <w:rFonts w:cstheme="minorHAnsi"/>
          <w:sz w:val="24"/>
          <w:szCs w:val="24"/>
        </w:rPr>
        <w:t xml:space="preserve"> give less </w:t>
      </w:r>
      <w:r w:rsidR="007A3C6B" w:rsidRPr="00CA4DA0">
        <w:rPr>
          <w:rFonts w:cstheme="minorHAnsi"/>
          <w:sz w:val="24"/>
          <w:szCs w:val="24"/>
        </w:rPr>
        <w:t xml:space="preserve">of an </w:t>
      </w:r>
      <w:r w:rsidR="00085BFB" w:rsidRPr="00CA4DA0">
        <w:rPr>
          <w:rFonts w:cstheme="minorHAnsi"/>
          <w:sz w:val="24"/>
          <w:szCs w:val="24"/>
        </w:rPr>
        <w:t xml:space="preserve">incentive </w:t>
      </w:r>
      <w:r w:rsidR="007A3C6B" w:rsidRPr="00CA4DA0">
        <w:rPr>
          <w:rFonts w:cstheme="minorHAnsi"/>
          <w:sz w:val="24"/>
          <w:szCs w:val="24"/>
        </w:rPr>
        <w:t>to the</w:t>
      </w:r>
      <w:r w:rsidR="00085BFB" w:rsidRPr="00CA4DA0">
        <w:rPr>
          <w:rFonts w:cstheme="minorHAnsi"/>
          <w:sz w:val="24"/>
          <w:szCs w:val="24"/>
        </w:rPr>
        <w:t xml:space="preserve"> FOMC to raise</w:t>
      </w:r>
      <w:r w:rsidR="00F232F3">
        <w:rPr>
          <w:rFonts w:cstheme="minorHAnsi"/>
          <w:sz w:val="24"/>
          <w:szCs w:val="24"/>
        </w:rPr>
        <w:t xml:space="preserve"> significantly</w:t>
      </w:r>
      <w:r w:rsidR="00085BFB" w:rsidRPr="00CA4DA0">
        <w:rPr>
          <w:rFonts w:cstheme="minorHAnsi"/>
          <w:sz w:val="24"/>
          <w:szCs w:val="24"/>
        </w:rPr>
        <w:t xml:space="preserve"> </w:t>
      </w:r>
      <w:r w:rsidR="00FA4165" w:rsidRPr="00CA4DA0">
        <w:rPr>
          <w:rFonts w:cstheme="minorHAnsi"/>
          <w:sz w:val="24"/>
          <w:szCs w:val="24"/>
        </w:rPr>
        <w:t>its policy</w:t>
      </w:r>
      <w:r w:rsidR="00085BFB" w:rsidRPr="00CA4DA0">
        <w:rPr>
          <w:rFonts w:cstheme="minorHAnsi"/>
          <w:sz w:val="24"/>
          <w:szCs w:val="24"/>
        </w:rPr>
        <w:t xml:space="preserve"> rate quickly. </w:t>
      </w:r>
      <w:r w:rsidR="001D4BB2" w:rsidRPr="00CA4DA0">
        <w:rPr>
          <w:rFonts w:cstheme="minorHAnsi"/>
          <w:sz w:val="24"/>
          <w:szCs w:val="24"/>
        </w:rPr>
        <w:t>They also point</w:t>
      </w:r>
      <w:r w:rsidR="00085BFB" w:rsidRPr="00CA4DA0">
        <w:rPr>
          <w:rFonts w:cstheme="minorHAnsi"/>
          <w:sz w:val="24"/>
          <w:szCs w:val="24"/>
        </w:rPr>
        <w:t xml:space="preserve"> toward a more unstable </w:t>
      </w:r>
      <w:r w:rsidR="00AA2263" w:rsidRPr="00CA4DA0">
        <w:rPr>
          <w:rFonts w:cstheme="minorHAnsi"/>
          <w:sz w:val="24"/>
          <w:szCs w:val="24"/>
        </w:rPr>
        <w:t>economy, which</w:t>
      </w:r>
      <w:r w:rsidR="00085BFB" w:rsidRPr="00CA4DA0">
        <w:rPr>
          <w:rFonts w:cstheme="minorHAnsi"/>
          <w:sz w:val="24"/>
          <w:szCs w:val="24"/>
        </w:rPr>
        <w:t xml:space="preserve"> gives less ability to the FOMC to raise interes</w:t>
      </w:r>
      <w:r w:rsidR="007A3C6B" w:rsidRPr="00CA4DA0">
        <w:rPr>
          <w:rFonts w:cstheme="minorHAnsi"/>
          <w:sz w:val="24"/>
          <w:szCs w:val="24"/>
        </w:rPr>
        <w:t>t rates quickly without generating</w:t>
      </w:r>
      <w:r w:rsidR="00085BFB" w:rsidRPr="00CA4DA0">
        <w:rPr>
          <w:rFonts w:cstheme="minorHAnsi"/>
          <w:sz w:val="24"/>
          <w:szCs w:val="24"/>
        </w:rPr>
        <w:t xml:space="preserve"> financial </w:t>
      </w:r>
      <w:r w:rsidR="00F40B32" w:rsidRPr="00CA4DA0">
        <w:rPr>
          <w:rFonts w:cstheme="minorHAnsi"/>
          <w:sz w:val="24"/>
          <w:szCs w:val="24"/>
        </w:rPr>
        <w:t>instability</w:t>
      </w:r>
      <w:r w:rsidR="00085BFB" w:rsidRPr="00CA4DA0">
        <w:rPr>
          <w:rFonts w:cstheme="minorHAnsi"/>
          <w:sz w:val="24"/>
          <w:szCs w:val="24"/>
        </w:rPr>
        <w:t xml:space="preserve">. While the FOMC may start raising </w:t>
      </w:r>
      <w:r w:rsidR="00FA4165" w:rsidRPr="00CA4DA0">
        <w:rPr>
          <w:rFonts w:cstheme="minorHAnsi"/>
          <w:sz w:val="24"/>
          <w:szCs w:val="24"/>
        </w:rPr>
        <w:t>its FFR target</w:t>
      </w:r>
      <w:r w:rsidR="00085BFB" w:rsidRPr="00CA4DA0">
        <w:rPr>
          <w:rFonts w:cstheme="minorHAnsi"/>
          <w:sz w:val="24"/>
          <w:szCs w:val="24"/>
        </w:rPr>
        <w:t xml:space="preserve">, it </w:t>
      </w:r>
      <w:r w:rsidR="00CA4103" w:rsidRPr="00CA4DA0">
        <w:rPr>
          <w:rFonts w:cstheme="minorHAnsi"/>
          <w:sz w:val="24"/>
          <w:szCs w:val="24"/>
        </w:rPr>
        <w:t>will not</w:t>
      </w:r>
      <w:r w:rsidR="00085BFB" w:rsidRPr="00CA4DA0">
        <w:rPr>
          <w:rFonts w:cstheme="minorHAnsi"/>
          <w:sz w:val="24"/>
          <w:szCs w:val="24"/>
        </w:rPr>
        <w:t xml:space="preserve"> be able to do it quickly and permanently. </w:t>
      </w:r>
      <w:r w:rsidR="00925D61" w:rsidRPr="00CA4DA0">
        <w:rPr>
          <w:rFonts w:cstheme="minorHAnsi"/>
          <w:sz w:val="24"/>
          <w:szCs w:val="24"/>
        </w:rPr>
        <w:t>Thus, u</w:t>
      </w:r>
      <w:r w:rsidR="00085BFB" w:rsidRPr="00CA4DA0">
        <w:rPr>
          <w:rFonts w:cstheme="minorHAnsi"/>
          <w:sz w:val="24"/>
          <w:szCs w:val="24"/>
        </w:rPr>
        <w:t xml:space="preserve">nless </w:t>
      </w:r>
      <w:r w:rsidR="00CA4103" w:rsidRPr="00CA4DA0">
        <w:rPr>
          <w:rFonts w:cstheme="minorHAnsi"/>
          <w:sz w:val="24"/>
          <w:szCs w:val="24"/>
        </w:rPr>
        <w:t>there is</w:t>
      </w:r>
      <w:r w:rsidR="00085BFB" w:rsidRPr="00CA4DA0">
        <w:rPr>
          <w:rFonts w:cstheme="minorHAnsi"/>
          <w:sz w:val="24"/>
          <w:szCs w:val="24"/>
        </w:rPr>
        <w:t xml:space="preserve"> a dramatic shift in the way the U</w:t>
      </w:r>
      <w:r w:rsidR="006F3B86" w:rsidRPr="00CA4DA0">
        <w:rPr>
          <w:rFonts w:cstheme="minorHAnsi"/>
          <w:sz w:val="24"/>
          <w:szCs w:val="24"/>
        </w:rPr>
        <w:t>.</w:t>
      </w:r>
      <w:r w:rsidR="00085BFB" w:rsidRPr="00CA4DA0">
        <w:rPr>
          <w:rFonts w:cstheme="minorHAnsi"/>
          <w:sz w:val="24"/>
          <w:szCs w:val="24"/>
        </w:rPr>
        <w:t>S</w:t>
      </w:r>
      <w:r w:rsidR="006F3B86" w:rsidRPr="00CA4DA0">
        <w:rPr>
          <w:rFonts w:cstheme="minorHAnsi"/>
          <w:sz w:val="24"/>
          <w:szCs w:val="24"/>
        </w:rPr>
        <w:t>.</w:t>
      </w:r>
      <w:r w:rsidR="00085BFB" w:rsidRPr="00CA4DA0">
        <w:rPr>
          <w:rFonts w:cstheme="minorHAnsi"/>
          <w:sz w:val="24"/>
          <w:szCs w:val="24"/>
        </w:rPr>
        <w:t xml:space="preserve"> economy is managed, </w:t>
      </w:r>
      <w:r w:rsidR="00925D61" w:rsidRPr="00CA4DA0">
        <w:rPr>
          <w:rFonts w:cstheme="minorHAnsi"/>
          <w:sz w:val="24"/>
          <w:szCs w:val="24"/>
        </w:rPr>
        <w:t xml:space="preserve">the default expectation of market participants should be that interest rates continue to stay low for </w:t>
      </w:r>
      <w:r w:rsidR="001D4BB2" w:rsidRPr="00CA4DA0">
        <w:rPr>
          <w:rFonts w:cstheme="minorHAnsi"/>
          <w:sz w:val="24"/>
          <w:szCs w:val="24"/>
        </w:rPr>
        <w:t xml:space="preserve">the upcoming decade </w:t>
      </w:r>
      <w:r w:rsidR="00F40B32" w:rsidRPr="00CA4DA0">
        <w:rPr>
          <w:rFonts w:cstheme="minorHAnsi"/>
          <w:sz w:val="24"/>
          <w:szCs w:val="24"/>
        </w:rPr>
        <w:t xml:space="preserve">and </w:t>
      </w:r>
      <w:r w:rsidR="00C67B17" w:rsidRPr="00CA4DA0">
        <w:rPr>
          <w:rFonts w:cstheme="minorHAnsi"/>
          <w:sz w:val="24"/>
          <w:szCs w:val="24"/>
        </w:rPr>
        <w:t>more</w:t>
      </w:r>
      <w:r w:rsidR="00925D61" w:rsidRPr="00CA4DA0">
        <w:rPr>
          <w:rFonts w:cstheme="minorHAnsi"/>
          <w:sz w:val="24"/>
          <w:szCs w:val="24"/>
        </w:rPr>
        <w:t>. A low-growth</w:t>
      </w:r>
      <w:r w:rsidR="00FA4165" w:rsidRPr="00CA4DA0">
        <w:rPr>
          <w:rFonts w:cstheme="minorHAnsi"/>
          <w:sz w:val="24"/>
          <w:szCs w:val="24"/>
        </w:rPr>
        <w:t xml:space="preserve"> highly-leveraged</w:t>
      </w:r>
      <w:r w:rsidR="00925D61" w:rsidRPr="00CA4DA0">
        <w:rPr>
          <w:rFonts w:cstheme="minorHAnsi"/>
          <w:sz w:val="24"/>
          <w:szCs w:val="24"/>
        </w:rPr>
        <w:t xml:space="preserve"> economy can only accommodate so much in terms of interest rate</w:t>
      </w:r>
      <w:r w:rsidR="00463A16">
        <w:rPr>
          <w:rFonts w:cstheme="minorHAnsi"/>
          <w:sz w:val="24"/>
          <w:szCs w:val="24"/>
        </w:rPr>
        <w:t xml:space="preserve"> hikes</w:t>
      </w:r>
      <w:r w:rsidR="00925D61" w:rsidRPr="00CA4DA0">
        <w:rPr>
          <w:rFonts w:cstheme="minorHAnsi"/>
          <w:sz w:val="24"/>
          <w:szCs w:val="24"/>
        </w:rPr>
        <w:t>.</w:t>
      </w:r>
    </w:p>
    <w:p w14:paraId="3D68EBD5" w14:textId="77777777" w:rsidR="00925D61" w:rsidRPr="00CA4DA0" w:rsidRDefault="00925D61" w:rsidP="000E07CC">
      <w:pPr>
        <w:rPr>
          <w:rFonts w:cstheme="minorHAnsi"/>
          <w:sz w:val="24"/>
          <w:szCs w:val="24"/>
        </w:rPr>
      </w:pPr>
    </w:p>
    <w:p w14:paraId="7D2C1D2C" w14:textId="6FE3E4B6" w:rsidR="00E80924" w:rsidRPr="00CA4DA0" w:rsidRDefault="00F232F3" w:rsidP="000E07CC">
      <w:pPr>
        <w:rPr>
          <w:rFonts w:cstheme="minorHAnsi"/>
          <w:b/>
          <w:sz w:val="24"/>
          <w:szCs w:val="24"/>
        </w:rPr>
      </w:pPr>
      <w:r>
        <w:rPr>
          <w:rFonts w:cstheme="minorHAnsi"/>
          <w:b/>
          <w:sz w:val="24"/>
          <w:szCs w:val="24"/>
        </w:rPr>
        <w:t>Implications</w:t>
      </w:r>
    </w:p>
    <w:p w14:paraId="2068162D" w14:textId="6E795D2B" w:rsidR="00D0663E" w:rsidRPr="00CA4DA0" w:rsidRDefault="000B111C" w:rsidP="00DE02D2">
      <w:pPr>
        <w:ind w:firstLine="720"/>
        <w:rPr>
          <w:rFonts w:cstheme="minorHAnsi"/>
          <w:sz w:val="24"/>
          <w:szCs w:val="24"/>
        </w:rPr>
      </w:pPr>
      <w:r w:rsidRPr="00CA4DA0">
        <w:rPr>
          <w:rFonts w:cstheme="minorHAnsi"/>
          <w:sz w:val="24"/>
          <w:szCs w:val="24"/>
        </w:rPr>
        <w:t xml:space="preserve">Secular stagnation and its impact on interest rates </w:t>
      </w:r>
      <w:r w:rsidR="00B97FA0" w:rsidRPr="00CA4DA0">
        <w:rPr>
          <w:rFonts w:cstheme="minorHAnsi"/>
          <w:sz w:val="24"/>
          <w:szCs w:val="24"/>
        </w:rPr>
        <w:t xml:space="preserve">have </w:t>
      </w:r>
      <w:r w:rsidRPr="00CA4DA0">
        <w:rPr>
          <w:rFonts w:cstheme="minorHAnsi"/>
          <w:sz w:val="24"/>
          <w:szCs w:val="24"/>
        </w:rPr>
        <w:t xml:space="preserve">important implications for </w:t>
      </w:r>
      <w:r w:rsidR="00D0663E" w:rsidRPr="00CA4DA0">
        <w:rPr>
          <w:rFonts w:cstheme="minorHAnsi"/>
          <w:sz w:val="24"/>
          <w:szCs w:val="24"/>
        </w:rPr>
        <w:t xml:space="preserve">the sustainability </w:t>
      </w:r>
      <w:r w:rsidR="00D4540B" w:rsidRPr="00CA4DA0">
        <w:rPr>
          <w:rFonts w:cstheme="minorHAnsi"/>
          <w:sz w:val="24"/>
          <w:szCs w:val="24"/>
        </w:rPr>
        <w:t>of</w:t>
      </w:r>
      <w:r w:rsidR="001702DA" w:rsidRPr="00CA4DA0">
        <w:rPr>
          <w:rFonts w:cstheme="minorHAnsi"/>
          <w:sz w:val="24"/>
          <w:szCs w:val="24"/>
        </w:rPr>
        <w:t xml:space="preserve"> </w:t>
      </w:r>
      <w:r w:rsidR="00FA4165" w:rsidRPr="00CA4DA0">
        <w:rPr>
          <w:rFonts w:cstheme="minorHAnsi"/>
          <w:sz w:val="24"/>
          <w:szCs w:val="24"/>
        </w:rPr>
        <w:t xml:space="preserve">our current form of capitalism—one </w:t>
      </w:r>
      <w:r w:rsidR="00CA4103" w:rsidRPr="00CA4DA0">
        <w:rPr>
          <w:rFonts w:cstheme="minorHAnsi"/>
          <w:sz w:val="24"/>
          <w:szCs w:val="24"/>
        </w:rPr>
        <w:t>that is</w:t>
      </w:r>
      <w:r w:rsidR="00FA4165" w:rsidRPr="00CA4DA0">
        <w:rPr>
          <w:rFonts w:cstheme="minorHAnsi"/>
          <w:sz w:val="24"/>
          <w:szCs w:val="24"/>
        </w:rPr>
        <w:t xml:space="preserve"> heavily reliant on finance and money managers—</w:t>
      </w:r>
      <w:r w:rsidR="00D0663E" w:rsidRPr="00CA4DA0">
        <w:rPr>
          <w:rFonts w:cstheme="minorHAnsi"/>
          <w:sz w:val="24"/>
          <w:szCs w:val="24"/>
        </w:rPr>
        <w:t xml:space="preserve">and </w:t>
      </w:r>
      <w:r w:rsidR="001702DA" w:rsidRPr="00CA4DA0">
        <w:rPr>
          <w:rFonts w:cstheme="minorHAnsi"/>
          <w:sz w:val="24"/>
          <w:szCs w:val="24"/>
        </w:rPr>
        <w:t xml:space="preserve">for </w:t>
      </w:r>
      <w:r w:rsidR="00D0663E" w:rsidRPr="00CA4DA0">
        <w:rPr>
          <w:rFonts w:cstheme="minorHAnsi"/>
          <w:sz w:val="24"/>
          <w:szCs w:val="24"/>
        </w:rPr>
        <w:t>the role of government in such an economic environment.</w:t>
      </w:r>
      <w:r w:rsidR="004A2784" w:rsidRPr="00CA4DA0">
        <w:rPr>
          <w:rFonts w:cstheme="minorHAnsi"/>
          <w:sz w:val="24"/>
          <w:szCs w:val="24"/>
        </w:rPr>
        <w:t xml:space="preserve"> </w:t>
      </w:r>
      <w:r w:rsidR="00DA237F" w:rsidRPr="00CA4DA0">
        <w:rPr>
          <w:rFonts w:cstheme="minorHAnsi"/>
          <w:sz w:val="24"/>
          <w:szCs w:val="24"/>
        </w:rPr>
        <w:t>Declining and low</w:t>
      </w:r>
      <w:r w:rsidR="00DB4E35" w:rsidRPr="00CA4DA0">
        <w:rPr>
          <w:rFonts w:cstheme="minorHAnsi"/>
          <w:sz w:val="24"/>
          <w:szCs w:val="24"/>
        </w:rPr>
        <w:t xml:space="preserve"> interest rates promote financial instability by forcing money managers to rely on, and spread the use of, Ponzi finance. </w:t>
      </w:r>
      <w:r w:rsidR="00283021" w:rsidRPr="00CA4DA0">
        <w:rPr>
          <w:rFonts w:cstheme="minorHAnsi"/>
          <w:sz w:val="24"/>
          <w:szCs w:val="24"/>
        </w:rPr>
        <w:t>Secular stagnation re</w:t>
      </w:r>
      <w:r w:rsidR="00463A16">
        <w:rPr>
          <w:rFonts w:cstheme="minorHAnsi"/>
          <w:sz w:val="24"/>
          <w:szCs w:val="24"/>
        </w:rPr>
        <w:t>stores</w:t>
      </w:r>
      <w:r w:rsidR="00283021" w:rsidRPr="00CA4DA0">
        <w:rPr>
          <w:rFonts w:cstheme="minorHAnsi"/>
          <w:sz w:val="24"/>
          <w:szCs w:val="24"/>
        </w:rPr>
        <w:t xml:space="preserve"> the importance of government in taking </w:t>
      </w:r>
      <w:r w:rsidR="00A0344D">
        <w:rPr>
          <w:rFonts w:cstheme="minorHAnsi"/>
          <w:sz w:val="24"/>
          <w:szCs w:val="24"/>
        </w:rPr>
        <w:t>a</w:t>
      </w:r>
      <w:r w:rsidR="00283021" w:rsidRPr="00CA4DA0">
        <w:rPr>
          <w:rFonts w:cstheme="minorHAnsi"/>
          <w:sz w:val="24"/>
          <w:szCs w:val="24"/>
        </w:rPr>
        <w:t xml:space="preserve"> lead to solve our pressing socio-economic </w:t>
      </w:r>
      <w:r w:rsidR="00F232F3">
        <w:rPr>
          <w:rFonts w:cstheme="minorHAnsi"/>
          <w:sz w:val="24"/>
          <w:szCs w:val="24"/>
        </w:rPr>
        <w:t>problems</w:t>
      </w:r>
      <w:r w:rsidR="00287E0B" w:rsidRPr="00CA4DA0">
        <w:rPr>
          <w:rFonts w:cstheme="minorHAnsi"/>
          <w:sz w:val="24"/>
          <w:szCs w:val="24"/>
        </w:rPr>
        <w:t xml:space="preserve"> and sustain</w:t>
      </w:r>
      <w:r w:rsidR="00F232F3">
        <w:rPr>
          <w:rFonts w:cstheme="minorHAnsi"/>
          <w:sz w:val="24"/>
          <w:szCs w:val="24"/>
        </w:rPr>
        <w:t xml:space="preserve">ing and raising economic growth. </w:t>
      </w:r>
    </w:p>
    <w:p w14:paraId="3DAA48A0" w14:textId="0F10F6BC" w:rsidR="00DA0CB6" w:rsidRPr="00CA4DA0" w:rsidRDefault="00147BBB" w:rsidP="003804C3">
      <w:pPr>
        <w:ind w:firstLine="720"/>
        <w:rPr>
          <w:rFonts w:cstheme="minorHAnsi"/>
          <w:sz w:val="24"/>
          <w:szCs w:val="24"/>
        </w:rPr>
      </w:pPr>
      <w:r w:rsidRPr="00CA4DA0">
        <w:rPr>
          <w:rFonts w:cstheme="minorHAnsi"/>
          <w:sz w:val="24"/>
          <w:szCs w:val="24"/>
        </w:rPr>
        <w:t>W</w:t>
      </w:r>
      <w:r w:rsidR="00C67776" w:rsidRPr="00CA4DA0">
        <w:rPr>
          <w:rFonts w:cstheme="minorHAnsi"/>
          <w:sz w:val="24"/>
          <w:szCs w:val="24"/>
        </w:rPr>
        <w:t xml:space="preserve">hile </w:t>
      </w:r>
      <w:r w:rsidR="00235528" w:rsidRPr="00CA4DA0">
        <w:rPr>
          <w:rFonts w:cstheme="minorHAnsi"/>
          <w:sz w:val="24"/>
          <w:szCs w:val="24"/>
        </w:rPr>
        <w:t xml:space="preserve">a </w:t>
      </w:r>
      <w:r w:rsidR="00C67776" w:rsidRPr="00CA4DA0">
        <w:rPr>
          <w:rFonts w:cstheme="minorHAnsi"/>
          <w:sz w:val="24"/>
          <w:szCs w:val="24"/>
        </w:rPr>
        <w:t>low</w:t>
      </w:r>
      <w:r w:rsidR="00FE45E9" w:rsidRPr="00CA4DA0">
        <w:rPr>
          <w:rFonts w:cstheme="minorHAnsi"/>
          <w:sz w:val="24"/>
          <w:szCs w:val="24"/>
        </w:rPr>
        <w:t>-interest-</w:t>
      </w:r>
      <w:r w:rsidR="00C67776" w:rsidRPr="00CA4DA0">
        <w:rPr>
          <w:rFonts w:cstheme="minorHAnsi"/>
          <w:sz w:val="24"/>
          <w:szCs w:val="24"/>
        </w:rPr>
        <w:t xml:space="preserve">rate </w:t>
      </w:r>
      <w:r w:rsidR="00235528" w:rsidRPr="00CA4DA0">
        <w:rPr>
          <w:rFonts w:cstheme="minorHAnsi"/>
          <w:sz w:val="24"/>
          <w:szCs w:val="24"/>
        </w:rPr>
        <w:t xml:space="preserve">environment </w:t>
      </w:r>
      <w:r w:rsidR="00C67776" w:rsidRPr="00CA4DA0">
        <w:rPr>
          <w:rFonts w:cstheme="minorHAnsi"/>
          <w:sz w:val="24"/>
          <w:szCs w:val="24"/>
        </w:rPr>
        <w:t>makes debt servicing easier</w:t>
      </w:r>
      <w:r w:rsidR="00235528" w:rsidRPr="00CA4DA0">
        <w:rPr>
          <w:rFonts w:cstheme="minorHAnsi"/>
          <w:sz w:val="24"/>
          <w:szCs w:val="24"/>
        </w:rPr>
        <w:t>,</w:t>
      </w:r>
      <w:r w:rsidR="00C67776" w:rsidRPr="00CA4DA0">
        <w:rPr>
          <w:rFonts w:cstheme="minorHAnsi"/>
          <w:sz w:val="24"/>
          <w:szCs w:val="24"/>
        </w:rPr>
        <w:t xml:space="preserve"> it </w:t>
      </w:r>
      <w:r w:rsidR="00235528" w:rsidRPr="00CA4DA0">
        <w:rPr>
          <w:rFonts w:cstheme="minorHAnsi"/>
          <w:sz w:val="24"/>
          <w:szCs w:val="24"/>
        </w:rPr>
        <w:t xml:space="preserve">creates challenges </w:t>
      </w:r>
      <w:r w:rsidR="00C67776" w:rsidRPr="00CA4DA0">
        <w:rPr>
          <w:rFonts w:cstheme="minorHAnsi"/>
          <w:sz w:val="24"/>
          <w:szCs w:val="24"/>
        </w:rPr>
        <w:t xml:space="preserve">for </w:t>
      </w:r>
      <w:r w:rsidR="008E41D4" w:rsidRPr="00CA4DA0">
        <w:rPr>
          <w:rFonts w:cstheme="minorHAnsi"/>
          <w:sz w:val="24"/>
          <w:szCs w:val="24"/>
        </w:rPr>
        <w:t>money managers</w:t>
      </w:r>
      <w:r w:rsidR="00C67776" w:rsidRPr="00CA4DA0">
        <w:rPr>
          <w:rFonts w:cstheme="minorHAnsi"/>
          <w:sz w:val="24"/>
          <w:szCs w:val="24"/>
        </w:rPr>
        <w:t xml:space="preserve"> </w:t>
      </w:r>
      <w:r w:rsidR="00FA4165" w:rsidRPr="00CA4DA0">
        <w:rPr>
          <w:rFonts w:cstheme="minorHAnsi"/>
          <w:sz w:val="24"/>
          <w:szCs w:val="24"/>
        </w:rPr>
        <w:t xml:space="preserve">(pension funds, mutual funds and others) </w:t>
      </w:r>
      <w:r w:rsidR="00C67776" w:rsidRPr="00CA4DA0">
        <w:rPr>
          <w:rFonts w:cstheme="minorHAnsi"/>
          <w:sz w:val="24"/>
          <w:szCs w:val="24"/>
        </w:rPr>
        <w:t xml:space="preserve">to meet their </w:t>
      </w:r>
      <w:r w:rsidR="00A0344D">
        <w:rPr>
          <w:rFonts w:cstheme="minorHAnsi"/>
          <w:sz w:val="24"/>
          <w:szCs w:val="24"/>
        </w:rPr>
        <w:t xml:space="preserve">target </w:t>
      </w:r>
      <w:r w:rsidR="00DA0CB6" w:rsidRPr="00CA4DA0">
        <w:rPr>
          <w:rFonts w:cstheme="minorHAnsi"/>
          <w:sz w:val="24"/>
          <w:szCs w:val="24"/>
        </w:rPr>
        <w:t xml:space="preserve">rate of </w:t>
      </w:r>
      <w:r w:rsidR="00C67776" w:rsidRPr="00CA4DA0">
        <w:rPr>
          <w:rFonts w:cstheme="minorHAnsi"/>
          <w:sz w:val="24"/>
          <w:szCs w:val="24"/>
        </w:rPr>
        <w:t>return on equity target</w:t>
      </w:r>
      <w:r w:rsidR="00C67B17" w:rsidRPr="00CA4DA0">
        <w:rPr>
          <w:rFonts w:cstheme="minorHAnsi"/>
          <w:sz w:val="24"/>
          <w:szCs w:val="24"/>
        </w:rPr>
        <w:t>.</w:t>
      </w:r>
      <w:r w:rsidR="00DA0CB6" w:rsidRPr="00CA4DA0">
        <w:rPr>
          <w:rFonts w:cstheme="minorHAnsi"/>
          <w:sz w:val="24"/>
          <w:szCs w:val="24"/>
        </w:rPr>
        <w:t xml:space="preserve"> The rate of return on equity (ROE) can be split into two components, the rate of return on asset (ROA) and the leverage ratio:</w:t>
      </w:r>
    </w:p>
    <w:p w14:paraId="485A68EE" w14:textId="183D1EA8" w:rsidR="00DA0CB6" w:rsidRPr="00CA4DA0" w:rsidRDefault="00DA0CB6" w:rsidP="00DA0CB6">
      <w:pPr>
        <w:jc w:val="center"/>
        <w:rPr>
          <w:rFonts w:cstheme="minorHAnsi"/>
          <w:sz w:val="24"/>
          <w:szCs w:val="24"/>
        </w:rPr>
      </w:pPr>
      <w:r w:rsidRPr="00CA4DA0">
        <w:rPr>
          <w:rFonts w:cstheme="minorHAnsi"/>
          <w:sz w:val="24"/>
          <w:szCs w:val="24"/>
        </w:rPr>
        <w:t>Net Income/Equity = Net Income/Assets* Asset/Equity</w:t>
      </w:r>
    </w:p>
    <w:p w14:paraId="0B034399" w14:textId="0F5635CB" w:rsidR="00F232F3" w:rsidRDefault="00DA0CB6" w:rsidP="00DA0CB6">
      <w:pPr>
        <w:rPr>
          <w:rFonts w:cstheme="minorHAnsi"/>
          <w:sz w:val="24"/>
          <w:szCs w:val="24"/>
        </w:rPr>
      </w:pPr>
      <w:r w:rsidRPr="00CA4DA0">
        <w:rPr>
          <w:rFonts w:cstheme="minorHAnsi"/>
          <w:sz w:val="24"/>
          <w:szCs w:val="24"/>
        </w:rPr>
        <w:t>In a world with low interest rate</w:t>
      </w:r>
      <w:r w:rsidR="00CA4103" w:rsidRPr="00CA4DA0">
        <w:rPr>
          <w:rFonts w:cstheme="minorHAnsi"/>
          <w:sz w:val="24"/>
          <w:szCs w:val="24"/>
        </w:rPr>
        <w:t>s</w:t>
      </w:r>
      <w:r w:rsidRPr="00CA4DA0">
        <w:rPr>
          <w:rFonts w:cstheme="minorHAnsi"/>
          <w:sz w:val="24"/>
          <w:szCs w:val="24"/>
        </w:rPr>
        <w:t xml:space="preserve">, ROA </w:t>
      </w:r>
      <w:r w:rsidR="00CA4103" w:rsidRPr="00CA4DA0">
        <w:rPr>
          <w:rFonts w:cstheme="minorHAnsi"/>
          <w:sz w:val="24"/>
          <w:szCs w:val="24"/>
        </w:rPr>
        <w:t xml:space="preserve">on financial assets </w:t>
      </w:r>
      <w:r w:rsidR="004C367A" w:rsidRPr="00CA4DA0">
        <w:rPr>
          <w:rFonts w:cstheme="minorHAnsi"/>
          <w:sz w:val="24"/>
          <w:szCs w:val="24"/>
        </w:rPr>
        <w:t>is</w:t>
      </w:r>
      <w:r w:rsidRPr="00CA4DA0">
        <w:rPr>
          <w:rFonts w:cstheme="minorHAnsi"/>
          <w:sz w:val="24"/>
          <w:szCs w:val="24"/>
        </w:rPr>
        <w:t xml:space="preserve"> depressed for any given level of risk on assets. To </w:t>
      </w:r>
      <w:r w:rsidR="00F232F3">
        <w:rPr>
          <w:rFonts w:cstheme="minorHAnsi"/>
          <w:sz w:val="24"/>
          <w:szCs w:val="24"/>
        </w:rPr>
        <w:t>offset that</w:t>
      </w:r>
      <w:r w:rsidRPr="00CA4DA0">
        <w:rPr>
          <w:rFonts w:cstheme="minorHAnsi"/>
          <w:sz w:val="24"/>
          <w:szCs w:val="24"/>
        </w:rPr>
        <w:t>, money managers can buy</w:t>
      </w:r>
      <w:r w:rsidR="004C367A" w:rsidRPr="00CA4DA0">
        <w:rPr>
          <w:rFonts w:cstheme="minorHAnsi"/>
          <w:sz w:val="24"/>
          <w:szCs w:val="24"/>
        </w:rPr>
        <w:t xml:space="preserve"> securities that pay a higher </w:t>
      </w:r>
      <w:r w:rsidR="00CA4103" w:rsidRPr="00CA4DA0">
        <w:rPr>
          <w:rFonts w:cstheme="minorHAnsi"/>
          <w:sz w:val="24"/>
          <w:szCs w:val="24"/>
        </w:rPr>
        <w:t>interest</w:t>
      </w:r>
      <w:r w:rsidR="00A0344D">
        <w:rPr>
          <w:rFonts w:cstheme="minorHAnsi"/>
          <w:sz w:val="24"/>
          <w:szCs w:val="24"/>
        </w:rPr>
        <w:t xml:space="preserve"> rate</w:t>
      </w:r>
      <w:r w:rsidR="00CA4103" w:rsidRPr="00CA4DA0">
        <w:rPr>
          <w:rFonts w:cstheme="minorHAnsi"/>
          <w:sz w:val="24"/>
          <w:szCs w:val="24"/>
        </w:rPr>
        <w:t>, which</w:t>
      </w:r>
      <w:r w:rsidR="004C367A" w:rsidRPr="00CA4DA0">
        <w:rPr>
          <w:rFonts w:cstheme="minorHAnsi"/>
          <w:sz w:val="24"/>
          <w:szCs w:val="24"/>
        </w:rPr>
        <w:t xml:space="preserve"> means buying</w:t>
      </w:r>
      <w:r w:rsidRPr="00CA4DA0">
        <w:rPr>
          <w:rFonts w:cstheme="minorHAnsi"/>
          <w:sz w:val="24"/>
          <w:szCs w:val="24"/>
        </w:rPr>
        <w:t xml:space="preserve"> ri</w:t>
      </w:r>
      <w:r w:rsidR="00084D84" w:rsidRPr="00CA4DA0">
        <w:rPr>
          <w:rFonts w:cstheme="minorHAnsi"/>
          <w:sz w:val="24"/>
          <w:szCs w:val="24"/>
        </w:rPr>
        <w:t xml:space="preserve">skier </w:t>
      </w:r>
      <w:r w:rsidR="004C367A" w:rsidRPr="00CA4DA0">
        <w:rPr>
          <w:rFonts w:cstheme="minorHAnsi"/>
          <w:sz w:val="24"/>
          <w:szCs w:val="24"/>
        </w:rPr>
        <w:t xml:space="preserve">financial </w:t>
      </w:r>
      <w:r w:rsidR="00084D84" w:rsidRPr="00CA4DA0">
        <w:rPr>
          <w:rFonts w:cstheme="minorHAnsi"/>
          <w:sz w:val="24"/>
          <w:szCs w:val="24"/>
        </w:rPr>
        <w:t xml:space="preserve">assets. As the 2008 financial crisis showed, </w:t>
      </w:r>
      <w:r w:rsidR="004C367A" w:rsidRPr="00CA4DA0">
        <w:rPr>
          <w:rFonts w:cstheme="minorHAnsi"/>
          <w:sz w:val="24"/>
          <w:szCs w:val="24"/>
        </w:rPr>
        <w:t>the riskiness may not be captured properly by credit rating</w:t>
      </w:r>
      <w:r w:rsidR="00F232F3">
        <w:rPr>
          <w:rFonts w:cstheme="minorHAnsi"/>
          <w:sz w:val="24"/>
          <w:szCs w:val="24"/>
        </w:rPr>
        <w:t>s</w:t>
      </w:r>
      <w:r w:rsidR="00084D84" w:rsidRPr="00CA4DA0">
        <w:rPr>
          <w:rFonts w:cstheme="minorHAnsi"/>
          <w:sz w:val="24"/>
          <w:szCs w:val="24"/>
        </w:rPr>
        <w:t>. Pension</w:t>
      </w:r>
      <w:r w:rsidR="00A0344D">
        <w:rPr>
          <w:rFonts w:cstheme="minorHAnsi"/>
          <w:sz w:val="24"/>
          <w:szCs w:val="24"/>
        </w:rPr>
        <w:t xml:space="preserve"> funds bought exotic investment-</w:t>
      </w:r>
      <w:r w:rsidR="00084D84" w:rsidRPr="00CA4DA0">
        <w:rPr>
          <w:rFonts w:cstheme="minorHAnsi"/>
          <w:sz w:val="24"/>
          <w:szCs w:val="24"/>
        </w:rPr>
        <w:t xml:space="preserve">grade securities that promised higher ROA than traditional </w:t>
      </w:r>
      <w:r w:rsidR="00A0344D">
        <w:rPr>
          <w:rFonts w:cstheme="minorHAnsi"/>
          <w:sz w:val="24"/>
          <w:szCs w:val="24"/>
        </w:rPr>
        <w:t xml:space="preserve">corporate </w:t>
      </w:r>
      <w:r w:rsidR="00084D84" w:rsidRPr="00CA4DA0">
        <w:rPr>
          <w:rFonts w:cstheme="minorHAnsi"/>
          <w:sz w:val="24"/>
          <w:szCs w:val="24"/>
        </w:rPr>
        <w:t>bonds with similar ratings</w:t>
      </w:r>
      <w:r w:rsidR="00F232F3">
        <w:rPr>
          <w:rFonts w:cstheme="minorHAnsi"/>
          <w:sz w:val="24"/>
          <w:szCs w:val="24"/>
        </w:rPr>
        <w:t>. T</w:t>
      </w:r>
      <w:r w:rsidR="00084D84" w:rsidRPr="00CA4DA0">
        <w:rPr>
          <w:rFonts w:cstheme="minorHAnsi"/>
          <w:sz w:val="24"/>
          <w:szCs w:val="24"/>
        </w:rPr>
        <w:t xml:space="preserve">hey </w:t>
      </w:r>
      <w:r w:rsidR="00084D84" w:rsidRPr="00CA4DA0">
        <w:rPr>
          <w:rFonts w:cstheme="minorHAnsi"/>
          <w:sz w:val="24"/>
          <w:szCs w:val="24"/>
        </w:rPr>
        <w:lastRenderedPageBreak/>
        <w:t>were able and willing to do because the rating did not account for the embedded leverage and poor quality of the assets underlying the securitization process upon with th</w:t>
      </w:r>
      <w:r w:rsidR="004C367A" w:rsidRPr="00CA4DA0">
        <w:rPr>
          <w:rFonts w:cstheme="minorHAnsi"/>
          <w:sz w:val="24"/>
          <w:szCs w:val="24"/>
        </w:rPr>
        <w:t>e exotic securities were based. The demand for such exotic securities in turn fueled the mortgage</w:t>
      </w:r>
      <w:r w:rsidR="00F232F3">
        <w:rPr>
          <w:rFonts w:cstheme="minorHAnsi"/>
          <w:sz w:val="24"/>
          <w:szCs w:val="24"/>
        </w:rPr>
        <w:t xml:space="preserve"> and securitization</w:t>
      </w:r>
      <w:r w:rsidR="004C367A" w:rsidRPr="00CA4DA0">
        <w:rPr>
          <w:rFonts w:cstheme="minorHAnsi"/>
          <w:sz w:val="24"/>
          <w:szCs w:val="24"/>
        </w:rPr>
        <w:t xml:space="preserve"> boom </w:t>
      </w:r>
      <w:r w:rsidR="000B462D" w:rsidRPr="00CA4DA0">
        <w:rPr>
          <w:rFonts w:cstheme="minorHAnsi"/>
          <w:sz w:val="24"/>
          <w:szCs w:val="24"/>
        </w:rPr>
        <w:t>of the first part of the 2000s</w:t>
      </w:r>
      <w:r w:rsidR="00A0344D">
        <w:rPr>
          <w:rFonts w:cstheme="minorHAnsi"/>
          <w:sz w:val="24"/>
          <w:szCs w:val="24"/>
        </w:rPr>
        <w:t>,</w:t>
      </w:r>
      <w:r w:rsidR="000B462D" w:rsidRPr="00CA4DA0">
        <w:rPr>
          <w:rFonts w:cstheme="minorHAnsi"/>
          <w:sz w:val="24"/>
          <w:szCs w:val="24"/>
        </w:rPr>
        <w:t xml:space="preserve"> with bankers pushing existing homeowners to refinance into exotic mortgages and pushing people with no income, no job and no assets to buy a home. The entire scheme could only be sustained by capital gains from home foreclosures, a giant Ponzi scheme predicated on the failure of homeowners to make their mortgage payments (Tymoigne and Wray 2014). The other way to boost ROE is to use more leverage in the finan</w:t>
      </w:r>
      <w:r w:rsidR="004326EE" w:rsidRPr="00CA4DA0">
        <w:rPr>
          <w:rFonts w:cstheme="minorHAnsi"/>
          <w:sz w:val="24"/>
          <w:szCs w:val="24"/>
        </w:rPr>
        <w:t>cing of the acquis</w:t>
      </w:r>
      <w:r w:rsidR="00CA4103" w:rsidRPr="00CA4DA0">
        <w:rPr>
          <w:rFonts w:cstheme="minorHAnsi"/>
          <w:sz w:val="24"/>
          <w:szCs w:val="24"/>
        </w:rPr>
        <w:t>it</w:t>
      </w:r>
      <w:r w:rsidR="004326EE" w:rsidRPr="00CA4DA0">
        <w:rPr>
          <w:rFonts w:cstheme="minorHAnsi"/>
          <w:sz w:val="24"/>
          <w:szCs w:val="24"/>
        </w:rPr>
        <w:t>ion of assets and</w:t>
      </w:r>
      <w:r w:rsidR="00AE6AAD">
        <w:rPr>
          <w:rFonts w:cstheme="minorHAnsi"/>
          <w:sz w:val="24"/>
          <w:szCs w:val="24"/>
        </w:rPr>
        <w:t>,</w:t>
      </w:r>
      <w:r w:rsidR="004326EE" w:rsidRPr="00CA4DA0">
        <w:rPr>
          <w:rFonts w:cstheme="minorHAnsi"/>
          <w:sz w:val="24"/>
          <w:szCs w:val="24"/>
        </w:rPr>
        <w:t xml:space="preserve"> </w:t>
      </w:r>
      <w:r w:rsidR="00463A16">
        <w:rPr>
          <w:rFonts w:cstheme="minorHAnsi"/>
          <w:sz w:val="24"/>
          <w:szCs w:val="24"/>
        </w:rPr>
        <w:t>as shown in</w:t>
      </w:r>
      <w:r w:rsidR="003444BD">
        <w:rPr>
          <w:rFonts w:cstheme="minorHAnsi"/>
          <w:sz w:val="24"/>
          <w:szCs w:val="24"/>
        </w:rPr>
        <w:t xml:space="preserve"> Figure 7</w:t>
      </w:r>
      <w:r w:rsidR="00463A16">
        <w:rPr>
          <w:rFonts w:cstheme="minorHAnsi"/>
          <w:sz w:val="24"/>
          <w:szCs w:val="24"/>
        </w:rPr>
        <w:t>,</w:t>
      </w:r>
      <w:r w:rsidR="00A0344D">
        <w:rPr>
          <w:rFonts w:cstheme="minorHAnsi"/>
          <w:sz w:val="24"/>
          <w:szCs w:val="24"/>
        </w:rPr>
        <w:t xml:space="preserve"> a very</w:t>
      </w:r>
      <w:r w:rsidR="004326EE" w:rsidRPr="00CA4DA0">
        <w:rPr>
          <w:rFonts w:cstheme="minorHAnsi"/>
          <w:sz w:val="24"/>
          <w:szCs w:val="24"/>
        </w:rPr>
        <w:t xml:space="preserve"> </w:t>
      </w:r>
      <w:r w:rsidR="00463A16">
        <w:rPr>
          <w:rFonts w:cstheme="minorHAnsi"/>
          <w:sz w:val="24"/>
          <w:szCs w:val="24"/>
        </w:rPr>
        <w:t xml:space="preserve">sharp </w:t>
      </w:r>
      <w:r w:rsidR="004326EE" w:rsidRPr="00CA4DA0">
        <w:rPr>
          <w:rFonts w:cstheme="minorHAnsi"/>
          <w:sz w:val="24"/>
          <w:szCs w:val="24"/>
        </w:rPr>
        <w:t>increase in the use of debt within the financial sector</w:t>
      </w:r>
      <w:r w:rsidR="00AE6AAD">
        <w:rPr>
          <w:rFonts w:cstheme="minorHAnsi"/>
          <w:sz w:val="24"/>
          <w:szCs w:val="24"/>
        </w:rPr>
        <w:t xml:space="preserve">. However, </w:t>
      </w:r>
      <w:r w:rsidR="004326EE" w:rsidRPr="00CA4DA0">
        <w:rPr>
          <w:rFonts w:cstheme="minorHAnsi"/>
          <w:sz w:val="24"/>
          <w:szCs w:val="24"/>
        </w:rPr>
        <w:t xml:space="preserve">a large part of </w:t>
      </w:r>
      <w:r w:rsidR="00AE6AAD">
        <w:rPr>
          <w:rFonts w:cstheme="minorHAnsi"/>
          <w:sz w:val="24"/>
          <w:szCs w:val="24"/>
        </w:rPr>
        <w:t>this leverage</w:t>
      </w:r>
      <w:r w:rsidR="004326EE" w:rsidRPr="00CA4DA0">
        <w:rPr>
          <w:rFonts w:cstheme="minorHAnsi"/>
          <w:sz w:val="24"/>
          <w:szCs w:val="24"/>
        </w:rPr>
        <w:t xml:space="preserve"> is hidden through the use of derivative and special purpose entities that promote the layering of debt</w:t>
      </w:r>
      <w:r w:rsidR="00AE6AAD">
        <w:rPr>
          <w:rFonts w:cstheme="minorHAnsi"/>
          <w:sz w:val="24"/>
          <w:szCs w:val="24"/>
        </w:rPr>
        <w:t>s</w:t>
      </w:r>
      <w:r w:rsidR="004326EE" w:rsidRPr="00CA4DA0">
        <w:rPr>
          <w:rFonts w:cstheme="minorHAnsi"/>
          <w:sz w:val="24"/>
          <w:szCs w:val="24"/>
        </w:rPr>
        <w:t>.</w:t>
      </w:r>
      <w:r w:rsidR="00857FEF" w:rsidRPr="00CA4DA0">
        <w:rPr>
          <w:rFonts w:cstheme="minorHAnsi"/>
          <w:sz w:val="24"/>
          <w:szCs w:val="24"/>
        </w:rPr>
        <w:t xml:space="preserve"> </w:t>
      </w:r>
    </w:p>
    <w:p w14:paraId="292C800E" w14:textId="77777777" w:rsidR="00A0344D" w:rsidRPr="00CA4DA0" w:rsidRDefault="00A0344D" w:rsidP="00A0344D">
      <w:pPr>
        <w:jc w:val="center"/>
        <w:rPr>
          <w:rFonts w:cstheme="minorHAnsi"/>
          <w:sz w:val="24"/>
          <w:szCs w:val="24"/>
        </w:rPr>
      </w:pPr>
      <w:r w:rsidRPr="00CA4DA0">
        <w:rPr>
          <w:rFonts w:cstheme="minorHAnsi"/>
          <w:sz w:val="24"/>
          <w:szCs w:val="24"/>
        </w:rPr>
        <w:t xml:space="preserve">FIGURE </w:t>
      </w:r>
      <w:r>
        <w:rPr>
          <w:rFonts w:cstheme="minorHAnsi"/>
          <w:sz w:val="24"/>
          <w:szCs w:val="24"/>
        </w:rPr>
        <w:t>7</w:t>
      </w:r>
      <w:r w:rsidRPr="00CA4DA0">
        <w:rPr>
          <w:rFonts w:cstheme="minorHAnsi"/>
          <w:sz w:val="24"/>
          <w:szCs w:val="24"/>
        </w:rPr>
        <w:t xml:space="preserve"> HERE</w:t>
      </w:r>
    </w:p>
    <w:p w14:paraId="6F57E0EF" w14:textId="48E8EE28" w:rsidR="00DA237F" w:rsidRPr="00CA4DA0" w:rsidRDefault="00F232F3" w:rsidP="00F232F3">
      <w:pPr>
        <w:ind w:firstLine="720"/>
        <w:rPr>
          <w:rFonts w:cstheme="minorHAnsi"/>
          <w:sz w:val="24"/>
          <w:szCs w:val="24"/>
        </w:rPr>
      </w:pPr>
      <w:r>
        <w:rPr>
          <w:rFonts w:cstheme="minorHAnsi"/>
          <w:sz w:val="24"/>
          <w:szCs w:val="24"/>
        </w:rPr>
        <w:t>By focusing</w:t>
      </w:r>
      <w:r w:rsidR="00DA237F" w:rsidRPr="00CA4DA0">
        <w:rPr>
          <w:rFonts w:cstheme="minorHAnsi"/>
          <w:sz w:val="24"/>
          <w:szCs w:val="24"/>
        </w:rPr>
        <w:t xml:space="preserve"> on riskier segments of the credit market and/or </w:t>
      </w:r>
      <w:r>
        <w:rPr>
          <w:rFonts w:cstheme="minorHAnsi"/>
          <w:sz w:val="24"/>
          <w:szCs w:val="24"/>
        </w:rPr>
        <w:t>using</w:t>
      </w:r>
      <w:r w:rsidR="00DA237F" w:rsidRPr="00CA4DA0">
        <w:rPr>
          <w:rFonts w:cstheme="minorHAnsi"/>
          <w:sz w:val="24"/>
          <w:szCs w:val="24"/>
        </w:rPr>
        <w:t xml:space="preserve"> more leverage in their financial strategies</w:t>
      </w:r>
      <w:r>
        <w:rPr>
          <w:rFonts w:cstheme="minorHAnsi"/>
          <w:sz w:val="24"/>
          <w:szCs w:val="24"/>
        </w:rPr>
        <w:t>, money managers have promoted</w:t>
      </w:r>
      <w:r w:rsidR="00DA237F" w:rsidRPr="00CA4DA0">
        <w:rPr>
          <w:rFonts w:cstheme="minorHAnsi"/>
          <w:sz w:val="24"/>
          <w:szCs w:val="24"/>
        </w:rPr>
        <w:t xml:space="preserve"> the use of leverage in the rest of the economy, increase</w:t>
      </w:r>
      <w:r>
        <w:rPr>
          <w:rFonts w:cstheme="minorHAnsi"/>
          <w:sz w:val="24"/>
          <w:szCs w:val="24"/>
        </w:rPr>
        <w:t>d</w:t>
      </w:r>
      <w:r w:rsidR="00DA237F" w:rsidRPr="00CA4DA0">
        <w:rPr>
          <w:rFonts w:cstheme="minorHAnsi"/>
          <w:sz w:val="24"/>
          <w:szCs w:val="24"/>
        </w:rPr>
        <w:t xml:space="preserve"> systemic financ</w:t>
      </w:r>
      <w:r>
        <w:rPr>
          <w:rFonts w:cstheme="minorHAnsi"/>
          <w:sz w:val="24"/>
          <w:szCs w:val="24"/>
        </w:rPr>
        <w:t xml:space="preserve">ial fragility and ultimately </w:t>
      </w:r>
      <w:r w:rsidR="00475E44">
        <w:rPr>
          <w:rFonts w:cstheme="minorHAnsi"/>
          <w:sz w:val="24"/>
          <w:szCs w:val="24"/>
        </w:rPr>
        <w:t>generating</w:t>
      </w:r>
      <w:r w:rsidR="00DA237F" w:rsidRPr="00CA4DA0">
        <w:rPr>
          <w:rFonts w:cstheme="minorHAnsi"/>
          <w:sz w:val="24"/>
          <w:szCs w:val="24"/>
        </w:rPr>
        <w:t xml:space="preserve"> financial instability. As such, it seems doubtful that a private-based retirement system</w:t>
      </w:r>
      <w:r w:rsidR="00E97E3D">
        <w:rPr>
          <w:rFonts w:cstheme="minorHAnsi"/>
          <w:sz w:val="24"/>
          <w:szCs w:val="24"/>
        </w:rPr>
        <w:t>, a core component of money manager capitalism,</w:t>
      </w:r>
      <w:r w:rsidR="00DA237F" w:rsidRPr="00CA4DA0">
        <w:rPr>
          <w:rFonts w:cstheme="minorHAnsi"/>
          <w:sz w:val="24"/>
          <w:szCs w:val="24"/>
        </w:rPr>
        <w:t xml:space="preserve"> is a sustainable means to achieve financial safety for retirees while at the same time promoting financial stability for the overall economy. This is all the more so that financial investment opportunities based on long-term income growth are far fewer than the funds available to portfolio managers. </w:t>
      </w:r>
      <w:r w:rsidR="00857FEF" w:rsidRPr="00CA4DA0">
        <w:rPr>
          <w:rFonts w:cstheme="minorHAnsi"/>
          <w:sz w:val="24"/>
          <w:szCs w:val="24"/>
        </w:rPr>
        <w:t xml:space="preserve">A stable, low-key and reliable financial means to </w:t>
      </w:r>
      <w:r>
        <w:rPr>
          <w:rFonts w:cstheme="minorHAnsi"/>
          <w:sz w:val="24"/>
          <w:szCs w:val="24"/>
        </w:rPr>
        <w:t>buy the</w:t>
      </w:r>
      <w:r w:rsidR="00857FEF" w:rsidRPr="00CA4DA0">
        <w:rPr>
          <w:rFonts w:cstheme="minorHAnsi"/>
          <w:sz w:val="24"/>
          <w:szCs w:val="24"/>
        </w:rPr>
        <w:t xml:space="preserve"> basic retirement necessities (food, shelter, and healthcare) can be </w:t>
      </w:r>
      <w:r w:rsidR="0084497D">
        <w:rPr>
          <w:rFonts w:cstheme="minorHAnsi"/>
          <w:sz w:val="24"/>
          <w:szCs w:val="24"/>
        </w:rPr>
        <w:t>achieved</w:t>
      </w:r>
      <w:r w:rsidR="00857FEF" w:rsidRPr="00CA4DA0">
        <w:rPr>
          <w:rFonts w:cstheme="minorHAnsi"/>
          <w:sz w:val="24"/>
          <w:szCs w:val="24"/>
        </w:rPr>
        <w:t xml:space="preserve"> through a public retirement system. </w:t>
      </w:r>
      <w:r w:rsidR="0084497D">
        <w:rPr>
          <w:rFonts w:cstheme="minorHAnsi"/>
          <w:sz w:val="24"/>
          <w:szCs w:val="24"/>
        </w:rPr>
        <w:t>This, however, only deals with one part of the problem of an aging society, the other part is to make sure that the economic system provisions itself while the population is aging. Fortunately, the economic adjustments required on the production side are manageable (Wray 2006).</w:t>
      </w:r>
    </w:p>
    <w:p w14:paraId="66AAC2E2" w14:textId="58AE8F45" w:rsidR="00793F82" w:rsidRDefault="00857FEF" w:rsidP="003804C3">
      <w:pPr>
        <w:ind w:firstLine="720"/>
        <w:rPr>
          <w:rFonts w:cstheme="minorHAnsi"/>
          <w:sz w:val="24"/>
          <w:szCs w:val="24"/>
        </w:rPr>
      </w:pPr>
      <w:r w:rsidRPr="00CA4DA0">
        <w:rPr>
          <w:rFonts w:cstheme="minorHAnsi"/>
          <w:sz w:val="24"/>
          <w:szCs w:val="24"/>
        </w:rPr>
        <w:t xml:space="preserve">Government can also play a major role in countering the destabilizing and stagnationist impact of investment-led growth. Domar </w:t>
      </w:r>
      <w:r w:rsidR="00B6504D" w:rsidRPr="00CA4DA0">
        <w:rPr>
          <w:rFonts w:cstheme="minorHAnsi"/>
          <w:sz w:val="24"/>
          <w:szCs w:val="24"/>
        </w:rPr>
        <w:t xml:space="preserve">(1946) </w:t>
      </w:r>
      <w:r w:rsidR="00A0344D">
        <w:rPr>
          <w:rFonts w:cstheme="minorHAnsi"/>
          <w:sz w:val="24"/>
          <w:szCs w:val="24"/>
        </w:rPr>
        <w:t>exte</w:t>
      </w:r>
      <w:r w:rsidRPr="00CA4DA0">
        <w:rPr>
          <w:rFonts w:cstheme="minorHAnsi"/>
          <w:sz w:val="24"/>
          <w:szCs w:val="24"/>
        </w:rPr>
        <w:t>nd</w:t>
      </w:r>
      <w:r w:rsidR="00A0344D">
        <w:rPr>
          <w:rFonts w:cstheme="minorHAnsi"/>
          <w:sz w:val="24"/>
          <w:szCs w:val="24"/>
        </w:rPr>
        <w:t>s</w:t>
      </w:r>
      <w:r w:rsidRPr="00CA4DA0">
        <w:rPr>
          <w:rFonts w:cstheme="minorHAnsi"/>
          <w:sz w:val="24"/>
          <w:szCs w:val="24"/>
        </w:rPr>
        <w:t xml:space="preserve"> Keynes’s static approach to the problem of economic growth and show</w:t>
      </w:r>
      <w:r w:rsidR="00A0344D">
        <w:rPr>
          <w:rFonts w:cstheme="minorHAnsi"/>
          <w:sz w:val="24"/>
          <w:szCs w:val="24"/>
        </w:rPr>
        <w:t>s</w:t>
      </w:r>
      <w:r w:rsidRPr="00CA4DA0">
        <w:rPr>
          <w:rFonts w:cstheme="minorHAnsi"/>
          <w:sz w:val="24"/>
          <w:szCs w:val="24"/>
        </w:rPr>
        <w:t xml:space="preserve"> that investment-led growth is unsustainable because </w:t>
      </w:r>
      <w:r w:rsidR="00B6504D" w:rsidRPr="00CA4DA0">
        <w:rPr>
          <w:rFonts w:cstheme="minorHAnsi"/>
          <w:sz w:val="24"/>
          <w:szCs w:val="24"/>
        </w:rPr>
        <w:t xml:space="preserve">the level of </w:t>
      </w:r>
      <w:r w:rsidRPr="00CA4DA0">
        <w:rPr>
          <w:rFonts w:cstheme="minorHAnsi"/>
          <w:sz w:val="24"/>
          <w:szCs w:val="24"/>
        </w:rPr>
        <w:t xml:space="preserve">net investment grows productive capacity while </w:t>
      </w:r>
      <w:r w:rsidR="00CA4103" w:rsidRPr="00CA4DA0">
        <w:rPr>
          <w:rFonts w:cstheme="minorHAnsi"/>
          <w:sz w:val="24"/>
          <w:szCs w:val="24"/>
        </w:rPr>
        <w:t>aggregate</w:t>
      </w:r>
      <w:r w:rsidRPr="00CA4DA0">
        <w:rPr>
          <w:rFonts w:cstheme="minorHAnsi"/>
          <w:sz w:val="24"/>
          <w:szCs w:val="24"/>
        </w:rPr>
        <w:t xml:space="preserve"> </w:t>
      </w:r>
      <w:r w:rsidR="00B6504D" w:rsidRPr="00CA4DA0">
        <w:rPr>
          <w:rFonts w:cstheme="minorHAnsi"/>
          <w:sz w:val="24"/>
          <w:szCs w:val="24"/>
        </w:rPr>
        <w:t>demand only grows by a multiple of the change in</w:t>
      </w:r>
      <w:r w:rsidRPr="00CA4DA0">
        <w:rPr>
          <w:rFonts w:cstheme="minorHAnsi"/>
          <w:sz w:val="24"/>
          <w:szCs w:val="24"/>
        </w:rPr>
        <w:t xml:space="preserve"> </w:t>
      </w:r>
      <w:commentRangeStart w:id="1"/>
      <w:commentRangeStart w:id="2"/>
      <w:r w:rsidRPr="00CA4DA0">
        <w:rPr>
          <w:rFonts w:cstheme="minorHAnsi"/>
          <w:sz w:val="24"/>
          <w:szCs w:val="24"/>
        </w:rPr>
        <w:t>i</w:t>
      </w:r>
      <w:r w:rsidR="00B6504D" w:rsidRPr="00CA4DA0">
        <w:rPr>
          <w:rFonts w:cstheme="minorHAnsi"/>
          <w:sz w:val="24"/>
          <w:szCs w:val="24"/>
        </w:rPr>
        <w:t>n</w:t>
      </w:r>
      <w:r w:rsidRPr="00CA4DA0">
        <w:rPr>
          <w:rFonts w:cstheme="minorHAnsi"/>
          <w:sz w:val="24"/>
          <w:szCs w:val="24"/>
        </w:rPr>
        <w:t xml:space="preserve">vestment. </w:t>
      </w:r>
      <w:r w:rsidR="00CA4103" w:rsidRPr="00CA4DA0">
        <w:rPr>
          <w:rFonts w:cstheme="minorHAnsi"/>
          <w:sz w:val="24"/>
          <w:szCs w:val="24"/>
        </w:rPr>
        <w:t xml:space="preserve">Minsky </w:t>
      </w:r>
      <w:commentRangeEnd w:id="1"/>
      <w:r w:rsidR="002112B7">
        <w:rPr>
          <w:rStyle w:val="CommentReference"/>
        </w:rPr>
        <w:commentReference w:id="1"/>
      </w:r>
      <w:commentRangeEnd w:id="2"/>
      <w:r w:rsidR="00E97E3D">
        <w:rPr>
          <w:rStyle w:val="CommentReference"/>
        </w:rPr>
        <w:commentReference w:id="2"/>
      </w:r>
      <w:r w:rsidR="00CA4103" w:rsidRPr="00CA4DA0">
        <w:rPr>
          <w:rFonts w:cstheme="minorHAnsi"/>
          <w:sz w:val="24"/>
          <w:szCs w:val="24"/>
        </w:rPr>
        <w:t>complements</w:t>
      </w:r>
      <w:r w:rsidR="00B6504D" w:rsidRPr="00CA4DA0">
        <w:rPr>
          <w:rFonts w:cstheme="minorHAnsi"/>
          <w:sz w:val="24"/>
          <w:szCs w:val="24"/>
        </w:rPr>
        <w:t xml:space="preserve"> Domar by showing that the achievement of </w:t>
      </w:r>
      <w:r w:rsidR="0084497D">
        <w:rPr>
          <w:rFonts w:cstheme="minorHAnsi"/>
          <w:sz w:val="24"/>
          <w:szCs w:val="24"/>
        </w:rPr>
        <w:t xml:space="preserve">financially </w:t>
      </w:r>
      <w:r w:rsidR="00B6504D" w:rsidRPr="00CA4DA0">
        <w:rPr>
          <w:rFonts w:cstheme="minorHAnsi"/>
          <w:sz w:val="24"/>
          <w:szCs w:val="24"/>
        </w:rPr>
        <w:t xml:space="preserve">sustainable long-term full employment and price stability cannot be based on </w:t>
      </w:r>
      <w:r w:rsidR="0084497D">
        <w:rPr>
          <w:rFonts w:cstheme="minorHAnsi"/>
          <w:sz w:val="24"/>
          <w:szCs w:val="24"/>
        </w:rPr>
        <w:t>promoting the growth of</w:t>
      </w:r>
      <w:r w:rsidR="00B6504D" w:rsidRPr="00CA4DA0">
        <w:rPr>
          <w:rFonts w:cstheme="minorHAnsi"/>
          <w:sz w:val="24"/>
          <w:szCs w:val="24"/>
        </w:rPr>
        <w:t xml:space="preserve"> private investment</w:t>
      </w:r>
      <w:r w:rsidR="0084497D">
        <w:rPr>
          <w:rFonts w:cstheme="minorHAnsi"/>
          <w:sz w:val="24"/>
          <w:szCs w:val="24"/>
        </w:rPr>
        <w:t xml:space="preserve"> (through tax breaks, subsidies to private business, among others)</w:t>
      </w:r>
      <w:r w:rsidR="00B6504D" w:rsidRPr="00CA4DA0">
        <w:rPr>
          <w:rFonts w:cstheme="minorHAnsi"/>
          <w:sz w:val="24"/>
          <w:szCs w:val="24"/>
        </w:rPr>
        <w:t>. Minsky also note</w:t>
      </w:r>
      <w:r w:rsidR="00A0344D">
        <w:rPr>
          <w:rFonts w:cstheme="minorHAnsi"/>
          <w:sz w:val="24"/>
          <w:szCs w:val="24"/>
        </w:rPr>
        <w:t>s</w:t>
      </w:r>
      <w:r w:rsidR="00B6504D" w:rsidRPr="00CA4DA0">
        <w:rPr>
          <w:rFonts w:cstheme="minorHAnsi"/>
          <w:sz w:val="24"/>
          <w:szCs w:val="24"/>
        </w:rPr>
        <w:t xml:space="preserve"> that the emphasis on investment creates inflationary pressures and income inequality (Minsky 1973, 1981, 1986). </w:t>
      </w:r>
      <w:r w:rsidR="00F93FB9">
        <w:rPr>
          <w:rFonts w:cstheme="minorHAnsi"/>
          <w:sz w:val="24"/>
          <w:szCs w:val="24"/>
        </w:rPr>
        <w:t xml:space="preserve">Steindl (1979), </w:t>
      </w:r>
      <w:r w:rsidR="004011B4" w:rsidRPr="00CA4DA0">
        <w:rPr>
          <w:rFonts w:cstheme="minorHAnsi"/>
          <w:sz w:val="24"/>
          <w:szCs w:val="24"/>
        </w:rPr>
        <w:t>Walker and V</w:t>
      </w:r>
      <w:r w:rsidR="001C2D2C" w:rsidRPr="00CA4DA0">
        <w:rPr>
          <w:rFonts w:cstheme="minorHAnsi"/>
          <w:sz w:val="24"/>
          <w:szCs w:val="24"/>
        </w:rPr>
        <w:t>atter (</w:t>
      </w:r>
      <w:r w:rsidR="00F54DF9" w:rsidRPr="00CA4DA0">
        <w:rPr>
          <w:rFonts w:cstheme="minorHAnsi"/>
          <w:sz w:val="24"/>
          <w:szCs w:val="24"/>
        </w:rPr>
        <w:t>1989</w:t>
      </w:r>
      <w:r w:rsidR="001C2D2C" w:rsidRPr="00CA4DA0">
        <w:rPr>
          <w:rFonts w:cstheme="minorHAnsi"/>
          <w:sz w:val="24"/>
          <w:szCs w:val="24"/>
        </w:rPr>
        <w:t>)</w:t>
      </w:r>
      <w:r w:rsidR="004011B4" w:rsidRPr="00CA4DA0">
        <w:rPr>
          <w:rFonts w:cstheme="minorHAnsi"/>
          <w:sz w:val="24"/>
          <w:szCs w:val="24"/>
        </w:rPr>
        <w:t xml:space="preserve"> </w:t>
      </w:r>
      <w:commentRangeStart w:id="3"/>
      <w:commentRangeStart w:id="4"/>
      <w:r w:rsidR="004011B4" w:rsidRPr="00CA4DA0">
        <w:rPr>
          <w:rFonts w:cstheme="minorHAnsi"/>
          <w:sz w:val="24"/>
          <w:szCs w:val="24"/>
        </w:rPr>
        <w:t xml:space="preserve">and Vatter et al. </w:t>
      </w:r>
      <w:commentRangeEnd w:id="3"/>
      <w:r w:rsidR="00F40C69">
        <w:rPr>
          <w:rStyle w:val="CommentReference"/>
        </w:rPr>
        <w:commentReference w:id="3"/>
      </w:r>
      <w:commentRangeEnd w:id="4"/>
      <w:r w:rsidR="00E97E3D">
        <w:rPr>
          <w:rStyle w:val="CommentReference"/>
        </w:rPr>
        <w:commentReference w:id="4"/>
      </w:r>
      <w:r w:rsidR="004011B4" w:rsidRPr="00CA4DA0">
        <w:rPr>
          <w:rFonts w:cstheme="minorHAnsi"/>
          <w:sz w:val="24"/>
          <w:szCs w:val="24"/>
        </w:rPr>
        <w:t>(1995)</w:t>
      </w:r>
      <w:r w:rsidR="00C047AC" w:rsidRPr="00CA4DA0">
        <w:rPr>
          <w:rFonts w:cstheme="minorHAnsi"/>
          <w:sz w:val="24"/>
          <w:szCs w:val="24"/>
        </w:rPr>
        <w:t xml:space="preserve"> build on </w:t>
      </w:r>
      <w:r w:rsidR="00F93FB9">
        <w:rPr>
          <w:rFonts w:cstheme="minorHAnsi"/>
          <w:sz w:val="24"/>
          <w:szCs w:val="24"/>
        </w:rPr>
        <w:t xml:space="preserve">Harrod’s, </w:t>
      </w:r>
      <w:r w:rsidR="00C047AC" w:rsidRPr="00CA4DA0">
        <w:rPr>
          <w:rFonts w:cstheme="minorHAnsi"/>
          <w:sz w:val="24"/>
          <w:szCs w:val="24"/>
        </w:rPr>
        <w:t xml:space="preserve">Domar’s and Minsky’s </w:t>
      </w:r>
      <w:r w:rsidR="00CA4103" w:rsidRPr="00CA4DA0">
        <w:rPr>
          <w:rFonts w:cstheme="minorHAnsi"/>
          <w:sz w:val="24"/>
          <w:szCs w:val="24"/>
        </w:rPr>
        <w:t>analysis</w:t>
      </w:r>
      <w:r w:rsidR="00C047AC" w:rsidRPr="00CA4DA0">
        <w:rPr>
          <w:rFonts w:cstheme="minorHAnsi"/>
          <w:sz w:val="24"/>
          <w:szCs w:val="24"/>
        </w:rPr>
        <w:t xml:space="preserve"> </w:t>
      </w:r>
      <w:r w:rsidR="001C2D2C" w:rsidRPr="00CA4DA0">
        <w:rPr>
          <w:rFonts w:cstheme="minorHAnsi"/>
          <w:sz w:val="24"/>
          <w:szCs w:val="24"/>
        </w:rPr>
        <w:t>by showing that the main constraint on economic growth has been too low growth in aggregate demand no</w:t>
      </w:r>
      <w:r w:rsidR="00C047AC" w:rsidRPr="00CA4DA0">
        <w:rPr>
          <w:rFonts w:cstheme="minorHAnsi"/>
          <w:sz w:val="24"/>
          <w:szCs w:val="24"/>
        </w:rPr>
        <w:t>t</w:t>
      </w:r>
      <w:r w:rsidR="001C2D2C" w:rsidRPr="00CA4DA0">
        <w:rPr>
          <w:rFonts w:cstheme="minorHAnsi"/>
          <w:sz w:val="24"/>
          <w:szCs w:val="24"/>
        </w:rPr>
        <w:t xml:space="preserve"> a too </w:t>
      </w:r>
      <w:r w:rsidR="00FB7343" w:rsidRPr="00CA4DA0">
        <w:rPr>
          <w:rFonts w:cstheme="minorHAnsi"/>
          <w:sz w:val="24"/>
          <w:szCs w:val="24"/>
        </w:rPr>
        <w:t>low growth in aggregate supply</w:t>
      </w:r>
      <w:r w:rsidR="00C047AC" w:rsidRPr="00CA4DA0">
        <w:rPr>
          <w:rFonts w:cstheme="minorHAnsi"/>
          <w:sz w:val="24"/>
          <w:szCs w:val="24"/>
        </w:rPr>
        <w:t xml:space="preserve"> (Wray 2008)</w:t>
      </w:r>
      <w:r w:rsidR="001C2D2C" w:rsidRPr="00CA4DA0">
        <w:rPr>
          <w:rFonts w:cstheme="minorHAnsi"/>
          <w:sz w:val="24"/>
          <w:szCs w:val="24"/>
        </w:rPr>
        <w:t xml:space="preserve">. </w:t>
      </w:r>
      <w:r w:rsidR="00C047AC" w:rsidRPr="00CA4DA0">
        <w:rPr>
          <w:rFonts w:cstheme="minorHAnsi"/>
          <w:sz w:val="24"/>
          <w:szCs w:val="24"/>
        </w:rPr>
        <w:t>They</w:t>
      </w:r>
      <w:r w:rsidR="00FB7343" w:rsidRPr="00CA4DA0">
        <w:rPr>
          <w:rFonts w:cstheme="minorHAnsi"/>
          <w:sz w:val="24"/>
          <w:szCs w:val="24"/>
        </w:rPr>
        <w:t xml:space="preserve"> conclude that the </w:t>
      </w:r>
      <w:r w:rsidR="00FB7343" w:rsidRPr="00CA4DA0">
        <w:rPr>
          <w:rFonts w:cstheme="minorHAnsi"/>
          <w:sz w:val="24"/>
          <w:szCs w:val="24"/>
        </w:rPr>
        <w:lastRenderedPageBreak/>
        <w:t xml:space="preserve">government has a </w:t>
      </w:r>
      <w:r w:rsidR="0077625F" w:rsidRPr="00CA4DA0">
        <w:rPr>
          <w:rFonts w:cstheme="minorHAnsi"/>
          <w:sz w:val="24"/>
          <w:szCs w:val="24"/>
        </w:rPr>
        <w:t>crucial role</w:t>
      </w:r>
      <w:r w:rsidR="00DA237F" w:rsidRPr="00CA4DA0">
        <w:rPr>
          <w:rFonts w:cstheme="minorHAnsi"/>
          <w:sz w:val="24"/>
          <w:szCs w:val="24"/>
        </w:rPr>
        <w:t xml:space="preserve"> government </w:t>
      </w:r>
      <w:r w:rsidR="00FB7343" w:rsidRPr="00CA4DA0">
        <w:rPr>
          <w:rFonts w:cstheme="minorHAnsi"/>
          <w:sz w:val="24"/>
          <w:szCs w:val="24"/>
        </w:rPr>
        <w:t xml:space="preserve">to </w:t>
      </w:r>
      <w:r w:rsidR="0077625F" w:rsidRPr="00CA4DA0">
        <w:rPr>
          <w:rFonts w:cstheme="minorHAnsi"/>
          <w:sz w:val="24"/>
          <w:szCs w:val="24"/>
        </w:rPr>
        <w:t>play</w:t>
      </w:r>
      <w:r w:rsidR="00A0344D">
        <w:rPr>
          <w:rFonts w:cstheme="minorHAnsi"/>
          <w:sz w:val="24"/>
          <w:szCs w:val="24"/>
        </w:rPr>
        <w:t>,</w:t>
      </w:r>
      <w:r w:rsidR="0077625F" w:rsidRPr="00CA4DA0">
        <w:rPr>
          <w:rFonts w:cstheme="minorHAnsi"/>
          <w:sz w:val="24"/>
          <w:szCs w:val="24"/>
        </w:rPr>
        <w:t xml:space="preserve"> not only in</w:t>
      </w:r>
      <w:r w:rsidR="00DA237F" w:rsidRPr="00CA4DA0">
        <w:rPr>
          <w:rFonts w:cstheme="minorHAnsi"/>
          <w:sz w:val="24"/>
          <w:szCs w:val="24"/>
        </w:rPr>
        <w:t xml:space="preserve"> stabilizing the economy</w:t>
      </w:r>
      <w:r w:rsidR="00A0344D">
        <w:rPr>
          <w:rFonts w:cstheme="minorHAnsi"/>
          <w:sz w:val="24"/>
          <w:szCs w:val="24"/>
        </w:rPr>
        <w:t>,</w:t>
      </w:r>
      <w:r w:rsidR="00DA237F" w:rsidRPr="00CA4DA0">
        <w:rPr>
          <w:rFonts w:cstheme="minorHAnsi"/>
          <w:sz w:val="24"/>
          <w:szCs w:val="24"/>
        </w:rPr>
        <w:t xml:space="preserve"> but also in putting </w:t>
      </w:r>
      <w:r w:rsidR="0077625F" w:rsidRPr="00CA4DA0">
        <w:rPr>
          <w:rFonts w:cstheme="minorHAnsi"/>
          <w:sz w:val="24"/>
          <w:szCs w:val="24"/>
        </w:rPr>
        <w:t>it</w:t>
      </w:r>
      <w:r w:rsidR="00DA237F" w:rsidRPr="00CA4DA0">
        <w:rPr>
          <w:rFonts w:cstheme="minorHAnsi"/>
          <w:sz w:val="24"/>
          <w:szCs w:val="24"/>
        </w:rPr>
        <w:t xml:space="preserve"> onto a higher growth </w:t>
      </w:r>
      <w:r w:rsidR="0084497D">
        <w:rPr>
          <w:rFonts w:cstheme="minorHAnsi"/>
          <w:sz w:val="24"/>
          <w:szCs w:val="24"/>
        </w:rPr>
        <w:t>path</w:t>
      </w:r>
      <w:r w:rsidR="0077625F" w:rsidRPr="00CA4DA0">
        <w:rPr>
          <w:rFonts w:cstheme="minorHAnsi"/>
          <w:sz w:val="24"/>
          <w:szCs w:val="24"/>
        </w:rPr>
        <w:t xml:space="preserve">. </w:t>
      </w:r>
    </w:p>
    <w:p w14:paraId="0946BBB3" w14:textId="77777777" w:rsidR="00793F82" w:rsidRPr="00CA4DA0" w:rsidRDefault="00793F82" w:rsidP="00793F82">
      <w:pPr>
        <w:pStyle w:val="Quote"/>
        <w:rPr>
          <w:rFonts w:cstheme="minorHAnsi"/>
          <w:color w:val="auto"/>
          <w:sz w:val="24"/>
          <w:szCs w:val="24"/>
        </w:rPr>
      </w:pPr>
      <w:r w:rsidRPr="00CA4DA0">
        <w:rPr>
          <w:rFonts w:cstheme="minorHAnsi"/>
          <w:color w:val="auto"/>
          <w:sz w:val="24"/>
          <w:szCs w:val="24"/>
        </w:rPr>
        <w:t>The mistaken emphasis upon physical capital· accumulation reveals […] a defect in the ruling growth models to which we have called attention: they are essentially laissez faire constructs. Acknowledgement of the long-established presence of big government is considered ancillary to long-run growth analysis. Government is allowed to intrude mainly and merely into such matters as subsidization of sectors, regulation, research, and education of the labor force. Big government as the decisive, dynamic, autonomous source of demand growth, historically coming to replace private fixed investment is, like the demand side in general, omitted from the usual model. (Walker and Vatter 1989, 344-345)</w:t>
      </w:r>
    </w:p>
    <w:p w14:paraId="30CC8E0C" w14:textId="42550338" w:rsidR="0084497D" w:rsidRDefault="0077625F" w:rsidP="00793F82">
      <w:pPr>
        <w:rPr>
          <w:rFonts w:cstheme="minorHAnsi"/>
          <w:sz w:val="24"/>
          <w:szCs w:val="24"/>
        </w:rPr>
      </w:pPr>
      <w:r w:rsidRPr="00CA4DA0">
        <w:rPr>
          <w:rFonts w:cstheme="minorHAnsi"/>
          <w:sz w:val="24"/>
          <w:szCs w:val="24"/>
        </w:rPr>
        <w:t xml:space="preserve">Contrary to the </w:t>
      </w:r>
      <w:r w:rsidR="00CA4103" w:rsidRPr="00CA4DA0">
        <w:rPr>
          <w:rFonts w:cstheme="minorHAnsi"/>
          <w:sz w:val="24"/>
          <w:szCs w:val="24"/>
        </w:rPr>
        <w:t>loanable</w:t>
      </w:r>
      <w:r w:rsidRPr="00CA4DA0">
        <w:rPr>
          <w:rFonts w:cstheme="minorHAnsi"/>
          <w:sz w:val="24"/>
          <w:szCs w:val="24"/>
        </w:rPr>
        <w:t xml:space="preserve"> funds</w:t>
      </w:r>
      <w:r w:rsidR="0084497D">
        <w:rPr>
          <w:rFonts w:cstheme="minorHAnsi"/>
          <w:sz w:val="24"/>
          <w:szCs w:val="24"/>
        </w:rPr>
        <w:t xml:space="preserve"> </w:t>
      </w:r>
      <w:r w:rsidR="00AA1D51">
        <w:rPr>
          <w:rFonts w:cstheme="minorHAnsi"/>
          <w:sz w:val="24"/>
          <w:szCs w:val="24"/>
        </w:rPr>
        <w:t xml:space="preserve">approach </w:t>
      </w:r>
      <w:r w:rsidR="0084497D">
        <w:rPr>
          <w:rFonts w:cstheme="minorHAnsi"/>
          <w:sz w:val="24"/>
          <w:szCs w:val="24"/>
        </w:rPr>
        <w:t>(in which government competes for resources with</w:t>
      </w:r>
      <w:r w:rsidR="00E55F05">
        <w:rPr>
          <w:rFonts w:cstheme="minorHAnsi"/>
          <w:sz w:val="24"/>
          <w:szCs w:val="24"/>
        </w:rPr>
        <w:t xml:space="preserve"> private</w:t>
      </w:r>
      <w:r w:rsidR="0084497D">
        <w:rPr>
          <w:rFonts w:cstheme="minorHAnsi"/>
          <w:sz w:val="24"/>
          <w:szCs w:val="24"/>
        </w:rPr>
        <w:t xml:space="preserve"> investors) and the </w:t>
      </w:r>
      <w:r w:rsidRPr="00CA4DA0">
        <w:rPr>
          <w:rFonts w:cstheme="minorHAnsi"/>
          <w:sz w:val="24"/>
          <w:szCs w:val="24"/>
        </w:rPr>
        <w:t>efficient market framework</w:t>
      </w:r>
      <w:r w:rsidR="0084497D">
        <w:rPr>
          <w:rFonts w:cstheme="minorHAnsi"/>
          <w:sz w:val="24"/>
          <w:szCs w:val="24"/>
        </w:rPr>
        <w:t xml:space="preserve"> (in which government intervention leads to misallocation</w:t>
      </w:r>
      <w:r w:rsidR="00E55F05">
        <w:rPr>
          <w:rFonts w:cstheme="minorHAnsi"/>
          <w:sz w:val="24"/>
          <w:szCs w:val="24"/>
        </w:rPr>
        <w:t>s</w:t>
      </w:r>
      <w:r w:rsidR="0084497D">
        <w:rPr>
          <w:rFonts w:cstheme="minorHAnsi"/>
          <w:sz w:val="24"/>
          <w:szCs w:val="24"/>
        </w:rPr>
        <w:t xml:space="preserve"> and stifle innovations)</w:t>
      </w:r>
      <w:r w:rsidRPr="00CA4DA0">
        <w:rPr>
          <w:rFonts w:cstheme="minorHAnsi"/>
          <w:sz w:val="24"/>
          <w:szCs w:val="24"/>
        </w:rPr>
        <w:t xml:space="preserve">, government spending has been a necessary complementary component to economic growth </w:t>
      </w:r>
      <w:r w:rsidR="0084497D">
        <w:rPr>
          <w:rFonts w:cstheme="minorHAnsi"/>
          <w:sz w:val="24"/>
          <w:szCs w:val="24"/>
        </w:rPr>
        <w:t>and innovation</w:t>
      </w:r>
      <w:r w:rsidRPr="00CA4DA0">
        <w:rPr>
          <w:rFonts w:cstheme="minorHAnsi"/>
          <w:sz w:val="24"/>
          <w:szCs w:val="24"/>
        </w:rPr>
        <w:t xml:space="preserve">. </w:t>
      </w:r>
      <w:r w:rsidR="00FB7343" w:rsidRPr="00CA4DA0">
        <w:rPr>
          <w:rFonts w:cstheme="minorHAnsi"/>
          <w:sz w:val="24"/>
          <w:szCs w:val="24"/>
        </w:rPr>
        <w:t xml:space="preserve">A big government and a big bank are complementary </w:t>
      </w:r>
      <w:r w:rsidR="00CA4103" w:rsidRPr="00CA4DA0">
        <w:rPr>
          <w:rFonts w:cstheme="minorHAnsi"/>
          <w:sz w:val="24"/>
          <w:szCs w:val="24"/>
        </w:rPr>
        <w:t>elements</w:t>
      </w:r>
      <w:r w:rsidR="00FB7343" w:rsidRPr="00CA4DA0">
        <w:rPr>
          <w:rFonts w:cstheme="minorHAnsi"/>
          <w:sz w:val="24"/>
          <w:szCs w:val="24"/>
        </w:rPr>
        <w:t xml:space="preserve">, not </w:t>
      </w:r>
      <w:r w:rsidR="00CA4103" w:rsidRPr="00CA4DA0">
        <w:rPr>
          <w:rFonts w:cstheme="minorHAnsi"/>
          <w:sz w:val="24"/>
          <w:szCs w:val="24"/>
        </w:rPr>
        <w:t>the</w:t>
      </w:r>
      <w:r w:rsidR="00FB7343" w:rsidRPr="00CA4DA0">
        <w:rPr>
          <w:rFonts w:cstheme="minorHAnsi"/>
          <w:sz w:val="24"/>
          <w:szCs w:val="24"/>
        </w:rPr>
        <w:t xml:space="preserve"> an</w:t>
      </w:r>
      <w:r w:rsidR="00CA4103" w:rsidRPr="00CA4DA0">
        <w:rPr>
          <w:rFonts w:cstheme="minorHAnsi"/>
          <w:sz w:val="24"/>
          <w:szCs w:val="24"/>
        </w:rPr>
        <w:t>ti</w:t>
      </w:r>
      <w:r w:rsidR="00FB7343" w:rsidRPr="00CA4DA0">
        <w:rPr>
          <w:rFonts w:cstheme="minorHAnsi"/>
          <w:sz w:val="24"/>
          <w:szCs w:val="24"/>
        </w:rPr>
        <w:t xml:space="preserve">thesis, of a market economy (Minsky 1993). </w:t>
      </w:r>
    </w:p>
    <w:p w14:paraId="460598B8" w14:textId="109D3E43" w:rsidR="00A0344D" w:rsidRDefault="0077625F" w:rsidP="002C4268">
      <w:pPr>
        <w:ind w:firstLine="720"/>
        <w:rPr>
          <w:rFonts w:cstheme="minorHAnsi"/>
          <w:sz w:val="24"/>
          <w:szCs w:val="24"/>
        </w:rPr>
      </w:pPr>
      <w:r w:rsidRPr="00CA4DA0">
        <w:rPr>
          <w:rFonts w:cstheme="minorHAnsi"/>
          <w:sz w:val="24"/>
          <w:szCs w:val="24"/>
        </w:rPr>
        <w:t xml:space="preserve">In terms of stabilizing the economy, there </w:t>
      </w:r>
      <w:r w:rsidR="00AA1D51">
        <w:rPr>
          <w:rFonts w:cstheme="minorHAnsi"/>
          <w:sz w:val="24"/>
          <w:szCs w:val="24"/>
        </w:rPr>
        <w:t xml:space="preserve">has been </w:t>
      </w:r>
      <w:r w:rsidRPr="00CA4DA0">
        <w:rPr>
          <w:rFonts w:cstheme="minorHAnsi"/>
          <w:sz w:val="24"/>
          <w:szCs w:val="24"/>
        </w:rPr>
        <w:t>a sharp change in the behavior of developed capitalist economies in the 20</w:t>
      </w:r>
      <w:r w:rsidRPr="00CA4DA0">
        <w:rPr>
          <w:rFonts w:cstheme="minorHAnsi"/>
          <w:sz w:val="24"/>
          <w:szCs w:val="24"/>
          <w:vertAlign w:val="superscript"/>
        </w:rPr>
        <w:t>th</w:t>
      </w:r>
      <w:r w:rsidRPr="00CA4DA0">
        <w:rPr>
          <w:rFonts w:cstheme="minorHAnsi"/>
          <w:sz w:val="24"/>
          <w:szCs w:val="24"/>
        </w:rPr>
        <w:t xml:space="preserve"> century.</w:t>
      </w:r>
      <w:r w:rsidR="00793F82">
        <w:rPr>
          <w:rFonts w:cstheme="minorHAnsi"/>
          <w:sz w:val="24"/>
          <w:szCs w:val="24"/>
        </w:rPr>
        <w:t xml:space="preserve"> </w:t>
      </w:r>
      <w:r w:rsidR="00793F82" w:rsidRPr="00CA4DA0">
        <w:rPr>
          <w:rFonts w:cstheme="minorHAnsi"/>
          <w:sz w:val="24"/>
          <w:szCs w:val="24"/>
        </w:rPr>
        <w:t xml:space="preserve">The </w:t>
      </w:r>
      <w:r w:rsidR="00E55F05">
        <w:rPr>
          <w:rFonts w:cstheme="minorHAnsi"/>
          <w:sz w:val="24"/>
          <w:szCs w:val="24"/>
        </w:rPr>
        <w:t>larger</w:t>
      </w:r>
      <w:r w:rsidR="00793F82" w:rsidRPr="00CA4DA0">
        <w:rPr>
          <w:rFonts w:cstheme="minorHAnsi"/>
          <w:sz w:val="24"/>
          <w:szCs w:val="24"/>
        </w:rPr>
        <w:t xml:space="preserve"> involvement of </w:t>
      </w:r>
      <w:r w:rsidR="00A0344D">
        <w:rPr>
          <w:rFonts w:cstheme="minorHAnsi"/>
          <w:sz w:val="24"/>
          <w:szCs w:val="24"/>
        </w:rPr>
        <w:t>national</w:t>
      </w:r>
      <w:r w:rsidR="00793F82" w:rsidRPr="00CA4DA0">
        <w:rPr>
          <w:rFonts w:cstheme="minorHAnsi"/>
          <w:sz w:val="24"/>
          <w:szCs w:val="24"/>
        </w:rPr>
        <w:t xml:space="preserve"> government</w:t>
      </w:r>
      <w:r w:rsidR="00A0344D">
        <w:rPr>
          <w:rFonts w:cstheme="minorHAnsi"/>
          <w:sz w:val="24"/>
          <w:szCs w:val="24"/>
        </w:rPr>
        <w:t>s</w:t>
      </w:r>
      <w:r w:rsidR="00793F82" w:rsidRPr="00CA4DA0">
        <w:rPr>
          <w:rFonts w:cstheme="minorHAnsi"/>
          <w:sz w:val="24"/>
          <w:szCs w:val="24"/>
        </w:rPr>
        <w:t xml:space="preserve"> in the economy has considerably reduced the volatility of economic growth (Taylor et al. 2012; Hein 2018; Tymoigne 2008). </w:t>
      </w:r>
      <w:r w:rsidRPr="00CA4DA0">
        <w:rPr>
          <w:rFonts w:cstheme="minorHAnsi"/>
          <w:sz w:val="24"/>
          <w:szCs w:val="24"/>
        </w:rPr>
        <w:t xml:space="preserve">In the United States, following the 1930s, the economy has recorded fewer contractions; contractions have been much milder, much less lengthy, and </w:t>
      </w:r>
      <w:r w:rsidR="00A0344D">
        <w:rPr>
          <w:rFonts w:cstheme="minorHAnsi"/>
          <w:sz w:val="24"/>
          <w:szCs w:val="24"/>
        </w:rPr>
        <w:t>less frequent</w:t>
      </w:r>
      <w:r w:rsidRPr="00CA4DA0">
        <w:rPr>
          <w:rFonts w:cstheme="minorHAnsi"/>
          <w:sz w:val="24"/>
          <w:szCs w:val="24"/>
        </w:rPr>
        <w:t xml:space="preserve">. </w:t>
      </w:r>
      <w:r w:rsidR="00E55F05">
        <w:rPr>
          <w:rFonts w:cstheme="minorHAnsi"/>
          <w:sz w:val="24"/>
          <w:szCs w:val="24"/>
        </w:rPr>
        <w:t xml:space="preserve">This is explained by the </w:t>
      </w:r>
      <w:r w:rsidR="00A0344D">
        <w:rPr>
          <w:rFonts w:cstheme="minorHAnsi"/>
          <w:sz w:val="24"/>
          <w:szCs w:val="24"/>
        </w:rPr>
        <w:t>benefi</w:t>
      </w:r>
      <w:r w:rsidR="00E3671C">
        <w:rPr>
          <w:rFonts w:cstheme="minorHAnsi"/>
          <w:sz w:val="24"/>
          <w:szCs w:val="24"/>
        </w:rPr>
        <w:t>c</w:t>
      </w:r>
      <w:r w:rsidR="00A0344D">
        <w:rPr>
          <w:rFonts w:cstheme="minorHAnsi"/>
          <w:sz w:val="24"/>
          <w:szCs w:val="24"/>
        </w:rPr>
        <w:t>ial</w:t>
      </w:r>
      <w:r w:rsidR="00E55F05">
        <w:rPr>
          <w:rFonts w:cstheme="minorHAnsi"/>
          <w:sz w:val="24"/>
          <w:szCs w:val="24"/>
        </w:rPr>
        <w:t xml:space="preserve"> income, cash flow and portfolio effects of fiscal deficits</w:t>
      </w:r>
      <w:r w:rsidR="003C7C94">
        <w:rPr>
          <w:rFonts w:cstheme="minorHAnsi"/>
          <w:sz w:val="24"/>
          <w:szCs w:val="24"/>
        </w:rPr>
        <w:t xml:space="preserve"> (Minsky 1986)</w:t>
      </w:r>
      <w:r w:rsidR="00E55F05">
        <w:rPr>
          <w:rFonts w:cstheme="minorHAnsi"/>
          <w:sz w:val="24"/>
          <w:szCs w:val="24"/>
        </w:rPr>
        <w:t>. Fiscal d</w:t>
      </w:r>
      <w:r w:rsidRPr="00CA4DA0">
        <w:rPr>
          <w:rFonts w:cstheme="minorHAnsi"/>
          <w:sz w:val="24"/>
          <w:szCs w:val="24"/>
        </w:rPr>
        <w:t>eficits sustain private incomes by injecting more money in the economy than they remove through taxes</w:t>
      </w:r>
      <w:r w:rsidR="00E55F05">
        <w:rPr>
          <w:rFonts w:cstheme="minorHAnsi"/>
          <w:sz w:val="24"/>
          <w:szCs w:val="24"/>
        </w:rPr>
        <w:t>, which in turn stablizes</w:t>
      </w:r>
      <w:r w:rsidRPr="00CA4DA0">
        <w:rPr>
          <w:rFonts w:cstheme="minorHAnsi"/>
          <w:sz w:val="24"/>
          <w:szCs w:val="24"/>
        </w:rPr>
        <w:t xml:space="preserve"> private investment by </w:t>
      </w:r>
      <w:r w:rsidR="00E55F05">
        <w:rPr>
          <w:rFonts w:cstheme="minorHAnsi"/>
          <w:sz w:val="24"/>
          <w:szCs w:val="24"/>
        </w:rPr>
        <w:t>stabilizing aggregate demand</w:t>
      </w:r>
      <w:r w:rsidRPr="00CA4DA0">
        <w:rPr>
          <w:rFonts w:cstheme="minorHAnsi"/>
          <w:sz w:val="24"/>
          <w:szCs w:val="24"/>
        </w:rPr>
        <w:t>. Expected sales, not interest rates, are the main driver of business investment</w:t>
      </w:r>
      <w:r w:rsidR="00E55F05">
        <w:rPr>
          <w:rFonts w:cstheme="minorHAnsi"/>
          <w:sz w:val="24"/>
          <w:szCs w:val="24"/>
        </w:rPr>
        <w:t xml:space="preserve"> and f</w:t>
      </w:r>
      <w:r w:rsidRPr="00CA4DA0">
        <w:rPr>
          <w:rFonts w:cstheme="minorHAnsi"/>
          <w:sz w:val="24"/>
          <w:szCs w:val="24"/>
        </w:rPr>
        <w:t xml:space="preserve">iscal deficits </w:t>
      </w:r>
      <w:r w:rsidR="00E55F05">
        <w:rPr>
          <w:rFonts w:cstheme="minorHAnsi"/>
          <w:sz w:val="24"/>
          <w:szCs w:val="24"/>
        </w:rPr>
        <w:t>stablize</w:t>
      </w:r>
      <w:r w:rsidRPr="00CA4DA0">
        <w:rPr>
          <w:rFonts w:cstheme="minorHAnsi"/>
          <w:sz w:val="24"/>
          <w:szCs w:val="24"/>
        </w:rPr>
        <w:t xml:space="preserve"> </w:t>
      </w:r>
      <w:r w:rsidR="00E55F05">
        <w:rPr>
          <w:rFonts w:cstheme="minorHAnsi"/>
          <w:sz w:val="24"/>
          <w:szCs w:val="24"/>
        </w:rPr>
        <w:t>sales</w:t>
      </w:r>
      <w:r w:rsidRPr="00CA4DA0">
        <w:rPr>
          <w:rFonts w:cstheme="minorHAnsi"/>
          <w:sz w:val="24"/>
          <w:szCs w:val="24"/>
        </w:rPr>
        <w:t xml:space="preserve"> while having a negligible impact on the cost of credit.</w:t>
      </w:r>
      <w:r w:rsidR="003C7C94">
        <w:rPr>
          <w:rFonts w:cstheme="minorHAnsi"/>
          <w:sz w:val="24"/>
          <w:szCs w:val="24"/>
        </w:rPr>
        <w:t xml:space="preserve"> Fiscal deficits also lead to the injection of safe financial assets in private balance sheets, which improves their liquidity and solvency.</w:t>
      </w:r>
      <w:r w:rsidRPr="00CA4DA0">
        <w:rPr>
          <w:rFonts w:cstheme="minorHAnsi"/>
          <w:sz w:val="24"/>
          <w:szCs w:val="24"/>
        </w:rPr>
        <w:t xml:space="preserve"> </w:t>
      </w:r>
      <w:r w:rsidR="00FB7343" w:rsidRPr="00CA4DA0">
        <w:rPr>
          <w:rFonts w:cstheme="minorHAnsi"/>
          <w:sz w:val="24"/>
          <w:szCs w:val="24"/>
        </w:rPr>
        <w:t>In t</w:t>
      </w:r>
      <w:r w:rsidRPr="00CA4DA0">
        <w:rPr>
          <w:rFonts w:cstheme="minorHAnsi"/>
          <w:sz w:val="24"/>
          <w:szCs w:val="24"/>
        </w:rPr>
        <w:t xml:space="preserve">erms </w:t>
      </w:r>
      <w:r w:rsidR="00FB7343" w:rsidRPr="00CA4DA0">
        <w:rPr>
          <w:rFonts w:cstheme="minorHAnsi"/>
          <w:sz w:val="24"/>
          <w:szCs w:val="24"/>
        </w:rPr>
        <w:t xml:space="preserve">of the trend of economic growth, the US economy has been growing </w:t>
      </w:r>
      <w:r w:rsidR="00BE24E3" w:rsidRPr="00CA4DA0">
        <w:rPr>
          <w:rFonts w:cstheme="minorHAnsi"/>
          <w:sz w:val="24"/>
          <w:szCs w:val="24"/>
        </w:rPr>
        <w:t>below potential since 1910 and, throughout the 20</w:t>
      </w:r>
      <w:r w:rsidR="00BE24E3" w:rsidRPr="00CA4DA0">
        <w:rPr>
          <w:rFonts w:cstheme="minorHAnsi"/>
          <w:sz w:val="24"/>
          <w:szCs w:val="24"/>
          <w:vertAlign w:val="superscript"/>
        </w:rPr>
        <w:t>th</w:t>
      </w:r>
      <w:r w:rsidR="00BE24E3" w:rsidRPr="00CA4DA0">
        <w:rPr>
          <w:rFonts w:cstheme="minorHAnsi"/>
          <w:sz w:val="24"/>
          <w:szCs w:val="24"/>
        </w:rPr>
        <w:t xml:space="preserve"> century, it would have been possible to </w:t>
      </w:r>
      <w:r w:rsidR="005D4127" w:rsidRPr="00CA4DA0">
        <w:rPr>
          <w:rFonts w:cstheme="minorHAnsi"/>
          <w:sz w:val="24"/>
          <w:szCs w:val="24"/>
        </w:rPr>
        <w:t>sustain</w:t>
      </w:r>
      <w:r w:rsidR="00CF791F" w:rsidRPr="00CA4DA0">
        <w:rPr>
          <w:rFonts w:cstheme="minorHAnsi"/>
          <w:sz w:val="24"/>
          <w:szCs w:val="24"/>
        </w:rPr>
        <w:t xml:space="preserve"> a 4% growth rate by relying on growing government spending instead of</w:t>
      </w:r>
      <w:r w:rsidR="00BE24E3" w:rsidRPr="00CA4DA0">
        <w:rPr>
          <w:rFonts w:cstheme="minorHAnsi"/>
          <w:sz w:val="24"/>
          <w:szCs w:val="24"/>
        </w:rPr>
        <w:t xml:space="preserve"> trying to stimulate</w:t>
      </w:r>
      <w:r w:rsidR="00CF791F" w:rsidRPr="00CA4DA0">
        <w:rPr>
          <w:rFonts w:cstheme="minorHAnsi"/>
          <w:sz w:val="24"/>
          <w:szCs w:val="24"/>
        </w:rPr>
        <w:t xml:space="preserve"> private domestic investment</w:t>
      </w:r>
      <w:r w:rsidR="00BE24E3" w:rsidRPr="00CA4DA0">
        <w:rPr>
          <w:rFonts w:cstheme="minorHAnsi"/>
          <w:sz w:val="24"/>
          <w:szCs w:val="24"/>
        </w:rPr>
        <w:t xml:space="preserve"> back to its pre-1910 growth rate</w:t>
      </w:r>
      <w:r w:rsidR="002C4268">
        <w:rPr>
          <w:rFonts w:cstheme="minorHAnsi"/>
          <w:sz w:val="24"/>
          <w:szCs w:val="24"/>
        </w:rPr>
        <w:t xml:space="preserve"> (</w:t>
      </w:r>
      <w:r w:rsidR="002C4268" w:rsidRPr="00CA4DA0">
        <w:rPr>
          <w:rFonts w:cstheme="minorHAnsi"/>
          <w:sz w:val="24"/>
          <w:szCs w:val="24"/>
        </w:rPr>
        <w:t>Vatter et al. 1995)</w:t>
      </w:r>
      <w:r w:rsidR="00793F82">
        <w:rPr>
          <w:rFonts w:cstheme="minorHAnsi"/>
          <w:sz w:val="24"/>
          <w:szCs w:val="24"/>
        </w:rPr>
        <w:t xml:space="preserve">. </w:t>
      </w:r>
    </w:p>
    <w:p w14:paraId="49B29E36" w14:textId="30E948F9" w:rsidR="00A630C1" w:rsidRPr="00CA4DA0" w:rsidRDefault="00BE24E3" w:rsidP="002C4268">
      <w:pPr>
        <w:ind w:firstLine="720"/>
        <w:rPr>
          <w:rFonts w:cstheme="minorHAnsi"/>
          <w:sz w:val="24"/>
          <w:szCs w:val="24"/>
        </w:rPr>
      </w:pPr>
      <w:r w:rsidRPr="00CA4DA0">
        <w:rPr>
          <w:rFonts w:cstheme="minorHAnsi"/>
          <w:sz w:val="24"/>
          <w:szCs w:val="24"/>
        </w:rPr>
        <w:t>Overall,</w:t>
      </w:r>
      <w:r w:rsidR="003C7C94">
        <w:rPr>
          <w:rFonts w:cstheme="minorHAnsi"/>
          <w:sz w:val="24"/>
          <w:szCs w:val="24"/>
        </w:rPr>
        <w:t xml:space="preserve"> </w:t>
      </w:r>
      <w:r w:rsidRPr="00CA4DA0">
        <w:rPr>
          <w:rFonts w:cstheme="minorHAnsi"/>
          <w:sz w:val="24"/>
          <w:szCs w:val="24"/>
        </w:rPr>
        <w:t>these author</w:t>
      </w:r>
      <w:r w:rsidR="00B37528">
        <w:rPr>
          <w:rFonts w:cstheme="minorHAnsi"/>
          <w:sz w:val="24"/>
          <w:szCs w:val="24"/>
        </w:rPr>
        <w:t>s</w:t>
      </w:r>
      <w:r w:rsidRPr="00CA4DA0">
        <w:rPr>
          <w:rFonts w:cstheme="minorHAnsi"/>
          <w:sz w:val="24"/>
          <w:szCs w:val="24"/>
        </w:rPr>
        <w:t xml:space="preserve"> note that e</w:t>
      </w:r>
      <w:r w:rsidR="00CF791F" w:rsidRPr="00CA4DA0">
        <w:rPr>
          <w:rFonts w:cstheme="minorHAnsi"/>
          <w:sz w:val="24"/>
          <w:szCs w:val="24"/>
        </w:rPr>
        <w:t xml:space="preserve">conomic growth </w:t>
      </w:r>
      <w:r w:rsidR="003C7C94">
        <w:rPr>
          <w:rFonts w:cstheme="minorHAnsi"/>
          <w:sz w:val="24"/>
          <w:szCs w:val="24"/>
        </w:rPr>
        <w:t xml:space="preserve">and economic development </w:t>
      </w:r>
      <w:r w:rsidR="00CF791F" w:rsidRPr="00CA4DA0">
        <w:rPr>
          <w:rFonts w:cstheme="minorHAnsi"/>
          <w:sz w:val="24"/>
          <w:szCs w:val="24"/>
        </w:rPr>
        <w:t>is demand-led</w:t>
      </w:r>
      <w:r w:rsidR="003C7C94">
        <w:rPr>
          <w:rFonts w:cstheme="minorHAnsi"/>
          <w:sz w:val="24"/>
          <w:szCs w:val="24"/>
        </w:rPr>
        <w:t>, a definite feature of Post Keynesian economics</w:t>
      </w:r>
      <w:r w:rsidR="00A630C1" w:rsidRPr="00CA4DA0">
        <w:rPr>
          <w:rFonts w:cstheme="minorHAnsi"/>
          <w:sz w:val="24"/>
          <w:szCs w:val="24"/>
        </w:rPr>
        <w:t xml:space="preserve"> (</w:t>
      </w:r>
      <w:r w:rsidR="001B7973" w:rsidRPr="00CA4DA0">
        <w:rPr>
          <w:rFonts w:cstheme="minorHAnsi"/>
          <w:sz w:val="24"/>
          <w:szCs w:val="24"/>
        </w:rPr>
        <w:t>Lavoie 2014</w:t>
      </w:r>
      <w:r w:rsidR="00A630C1" w:rsidRPr="00CA4DA0">
        <w:rPr>
          <w:rFonts w:cstheme="minorHAnsi"/>
          <w:sz w:val="24"/>
          <w:szCs w:val="24"/>
        </w:rPr>
        <w:t>)</w:t>
      </w:r>
      <w:r w:rsidRPr="00CA4DA0">
        <w:rPr>
          <w:rFonts w:cstheme="minorHAnsi"/>
          <w:sz w:val="24"/>
          <w:szCs w:val="24"/>
        </w:rPr>
        <w:t>, with government playing a big role in sustaining growth</w:t>
      </w:r>
      <w:r w:rsidR="002C4268">
        <w:rPr>
          <w:rFonts w:cstheme="minorHAnsi"/>
          <w:sz w:val="24"/>
          <w:szCs w:val="24"/>
        </w:rPr>
        <w:t xml:space="preserve">. </w:t>
      </w:r>
      <w:r w:rsidR="002C4268" w:rsidRPr="00CA4DA0">
        <w:rPr>
          <w:rFonts w:cstheme="minorHAnsi"/>
          <w:sz w:val="24"/>
          <w:szCs w:val="24"/>
        </w:rPr>
        <w:t>This does not mean that government spending can grow by an unlimited percentage but rather that productive capacities</w:t>
      </w:r>
      <w:r w:rsidR="002C4268">
        <w:rPr>
          <w:rFonts w:cstheme="minorHAnsi"/>
          <w:sz w:val="24"/>
          <w:szCs w:val="24"/>
        </w:rPr>
        <w:t>,</w:t>
      </w:r>
      <w:r w:rsidR="002C4268" w:rsidRPr="002C4268">
        <w:rPr>
          <w:rFonts w:cstheme="minorHAnsi"/>
          <w:sz w:val="24"/>
          <w:szCs w:val="24"/>
        </w:rPr>
        <w:t xml:space="preserve"> </w:t>
      </w:r>
      <w:r w:rsidR="002C4268" w:rsidRPr="00CA4DA0">
        <w:rPr>
          <w:rFonts w:cstheme="minorHAnsi"/>
          <w:sz w:val="24"/>
          <w:szCs w:val="24"/>
        </w:rPr>
        <w:t>especially labor, are usually flexible enough to respond</w:t>
      </w:r>
      <w:r w:rsidR="002C4268">
        <w:rPr>
          <w:rFonts w:cstheme="minorHAnsi"/>
          <w:sz w:val="24"/>
          <w:szCs w:val="24"/>
        </w:rPr>
        <w:t xml:space="preserve"> quickly,</w:t>
      </w:r>
      <w:r w:rsidR="002C4268" w:rsidRPr="00CA4DA0">
        <w:rPr>
          <w:rFonts w:cstheme="minorHAnsi"/>
          <w:sz w:val="24"/>
          <w:szCs w:val="24"/>
        </w:rPr>
        <w:t xml:space="preserve"> </w:t>
      </w:r>
      <w:r w:rsidR="002C4268">
        <w:rPr>
          <w:rFonts w:cstheme="minorHAnsi"/>
          <w:sz w:val="24"/>
          <w:szCs w:val="24"/>
        </w:rPr>
        <w:t xml:space="preserve">and ultimately adapt, </w:t>
      </w:r>
      <w:r w:rsidR="002C4268" w:rsidRPr="00CA4DA0">
        <w:rPr>
          <w:rFonts w:cstheme="minorHAnsi"/>
          <w:sz w:val="24"/>
          <w:szCs w:val="24"/>
        </w:rPr>
        <w:t xml:space="preserve">to </w:t>
      </w:r>
      <w:r w:rsidR="00A630C1" w:rsidRPr="00CA4DA0">
        <w:rPr>
          <w:rFonts w:cstheme="minorHAnsi"/>
          <w:sz w:val="24"/>
          <w:szCs w:val="24"/>
        </w:rPr>
        <w:t>the requi</w:t>
      </w:r>
      <w:r w:rsidR="00DC3149" w:rsidRPr="00CA4DA0">
        <w:rPr>
          <w:rFonts w:cstheme="minorHAnsi"/>
          <w:sz w:val="24"/>
          <w:szCs w:val="24"/>
        </w:rPr>
        <w:t xml:space="preserve">rement of growing </w:t>
      </w:r>
      <w:r w:rsidR="00DC3149" w:rsidRPr="00CA4DA0">
        <w:rPr>
          <w:rFonts w:cstheme="minorHAnsi"/>
          <w:sz w:val="24"/>
          <w:szCs w:val="24"/>
        </w:rPr>
        <w:lastRenderedPageBreak/>
        <w:t>expenditures.</w:t>
      </w:r>
      <w:r w:rsidR="002A2723" w:rsidRPr="00CA4DA0">
        <w:rPr>
          <w:rFonts w:cstheme="minorHAnsi"/>
          <w:sz w:val="24"/>
          <w:szCs w:val="24"/>
        </w:rPr>
        <w:t xml:space="preserve"> </w:t>
      </w:r>
      <w:r w:rsidR="00917F66" w:rsidRPr="00CA4DA0">
        <w:rPr>
          <w:rFonts w:cstheme="minorHAnsi"/>
          <w:sz w:val="24"/>
          <w:szCs w:val="24"/>
        </w:rPr>
        <w:t>While this has been well understood in the Keynesian literature, both heterodox and mainstream</w:t>
      </w:r>
      <w:r w:rsidR="00A0344D">
        <w:rPr>
          <w:rFonts w:cstheme="minorHAnsi"/>
          <w:sz w:val="24"/>
          <w:szCs w:val="24"/>
        </w:rPr>
        <w:t xml:space="preserve"> (hysteresis effect)</w:t>
      </w:r>
      <w:r w:rsidR="00917F66" w:rsidRPr="00CA4DA0">
        <w:rPr>
          <w:rFonts w:cstheme="minorHAnsi"/>
          <w:sz w:val="24"/>
          <w:szCs w:val="24"/>
        </w:rPr>
        <w:t>, it rarely enters policymaking discussion</w:t>
      </w:r>
      <w:r w:rsidR="00A0344D">
        <w:rPr>
          <w:rFonts w:cstheme="minorHAnsi"/>
          <w:sz w:val="24"/>
          <w:szCs w:val="24"/>
        </w:rPr>
        <w:t>s</w:t>
      </w:r>
      <w:r w:rsidR="00917F66" w:rsidRPr="00CA4DA0">
        <w:rPr>
          <w:rFonts w:cstheme="minorHAnsi"/>
          <w:sz w:val="24"/>
          <w:szCs w:val="24"/>
        </w:rPr>
        <w:t xml:space="preserve"> except when facts stubbornly show that the economy can operate far beyond what is at the time considered full employment</w:t>
      </w:r>
      <w:r w:rsidR="004A35A3" w:rsidRPr="00CA4DA0">
        <w:rPr>
          <w:rFonts w:cstheme="minorHAnsi"/>
          <w:sz w:val="24"/>
          <w:szCs w:val="24"/>
        </w:rPr>
        <w:t>. For example, Green</w:t>
      </w:r>
      <w:r w:rsidR="00CA4103" w:rsidRPr="00CA4DA0">
        <w:rPr>
          <w:rFonts w:cstheme="minorHAnsi"/>
          <w:sz w:val="24"/>
          <w:szCs w:val="24"/>
        </w:rPr>
        <w:t>s</w:t>
      </w:r>
      <w:r w:rsidR="004A35A3" w:rsidRPr="00CA4DA0">
        <w:rPr>
          <w:rFonts w:cstheme="minorHAnsi"/>
          <w:sz w:val="24"/>
          <w:szCs w:val="24"/>
        </w:rPr>
        <w:t>pan noted</w:t>
      </w:r>
      <w:r w:rsidR="00BB19F3">
        <w:rPr>
          <w:rFonts w:cstheme="minorHAnsi"/>
          <w:sz w:val="24"/>
          <w:szCs w:val="24"/>
        </w:rPr>
        <w:t xml:space="preserve"> </w:t>
      </w:r>
      <w:r w:rsidR="00BB19F3" w:rsidRPr="00CA4DA0">
        <w:rPr>
          <w:rFonts w:cstheme="minorHAnsi"/>
          <w:sz w:val="24"/>
          <w:szCs w:val="24"/>
        </w:rPr>
        <w:t>in 1999</w:t>
      </w:r>
      <w:r w:rsidR="004A35A3" w:rsidRPr="00CA4DA0">
        <w:rPr>
          <w:rFonts w:cstheme="minorHAnsi"/>
          <w:sz w:val="24"/>
          <w:szCs w:val="24"/>
        </w:rPr>
        <w:t>, after years when the unemployment rate fell below the NAIRU and inflation did not accelerate</w:t>
      </w:r>
      <w:r w:rsidR="00342EC0">
        <w:rPr>
          <w:rFonts w:cstheme="minorHAnsi"/>
          <w:sz w:val="24"/>
          <w:szCs w:val="24"/>
        </w:rPr>
        <w:t xml:space="preserve"> much</w:t>
      </w:r>
      <w:r w:rsidR="00BB19F3">
        <w:rPr>
          <w:rFonts w:cstheme="minorHAnsi"/>
          <w:sz w:val="24"/>
          <w:szCs w:val="24"/>
        </w:rPr>
        <w:t xml:space="preserve"> to the dismay of other FOMC members</w:t>
      </w:r>
      <w:r w:rsidR="00A0344D">
        <w:rPr>
          <w:rFonts w:cstheme="minorHAnsi"/>
          <w:sz w:val="24"/>
          <w:szCs w:val="24"/>
        </w:rPr>
        <w:t xml:space="preserve"> (prompting estimates of NAIRU to be revised down)</w:t>
      </w:r>
      <w:r w:rsidR="004A35A3" w:rsidRPr="00CA4DA0">
        <w:rPr>
          <w:rFonts w:cstheme="minorHAnsi"/>
          <w:sz w:val="24"/>
          <w:szCs w:val="24"/>
        </w:rPr>
        <w:t>, that:</w:t>
      </w:r>
    </w:p>
    <w:p w14:paraId="04FD3B78" w14:textId="6F3304A4" w:rsidR="00917F66" w:rsidRPr="00CA4DA0" w:rsidRDefault="00917F66" w:rsidP="00917F66">
      <w:pPr>
        <w:pStyle w:val="Quote"/>
        <w:rPr>
          <w:rFonts w:cstheme="minorHAnsi"/>
          <w:color w:val="auto"/>
          <w:sz w:val="24"/>
          <w:szCs w:val="24"/>
        </w:rPr>
      </w:pPr>
      <w:r w:rsidRPr="00CA4DA0">
        <w:rPr>
          <w:rFonts w:cstheme="minorHAnsi"/>
          <w:color w:val="auto"/>
          <w:sz w:val="24"/>
          <w:szCs w:val="24"/>
        </w:rPr>
        <w:t>Let me just say very simply – this is really a repetition of what I’ve been saying in the past – that we have all been brought up to a greater or lesser extent on the presumption that the supply side is a very stable force. […] In my judgment our models fail to account appropriately for the interaction between the supply side and the demand side largely because historically it has not be</w:t>
      </w:r>
      <w:r w:rsidR="00E97E3D">
        <w:rPr>
          <w:rFonts w:cstheme="minorHAnsi"/>
          <w:color w:val="auto"/>
          <w:sz w:val="24"/>
          <w:szCs w:val="24"/>
        </w:rPr>
        <w:t>en necessary for them to do so.</w:t>
      </w:r>
      <w:r w:rsidRPr="00CA4DA0">
        <w:rPr>
          <w:rFonts w:cstheme="minorHAnsi"/>
          <w:color w:val="auto"/>
          <w:sz w:val="24"/>
          <w:szCs w:val="24"/>
        </w:rPr>
        <w:t xml:space="preserve"> (Greenspan, FOMC meeting</w:t>
      </w:r>
      <w:r w:rsidR="009B361B" w:rsidRPr="00CA4DA0">
        <w:rPr>
          <w:rFonts w:cstheme="minorHAnsi"/>
          <w:color w:val="auto"/>
          <w:sz w:val="24"/>
          <w:szCs w:val="24"/>
        </w:rPr>
        <w:t xml:space="preserve"> minutes</w:t>
      </w:r>
      <w:r w:rsidRPr="00CA4DA0">
        <w:rPr>
          <w:rFonts w:cstheme="minorHAnsi"/>
          <w:color w:val="auto"/>
          <w:sz w:val="24"/>
          <w:szCs w:val="24"/>
        </w:rPr>
        <w:t>, October 1999, pages 46–47)</w:t>
      </w:r>
    </w:p>
    <w:p w14:paraId="3CB84B98" w14:textId="222FA47F" w:rsidR="002C4268" w:rsidRDefault="002C4268" w:rsidP="002C4268">
      <w:pPr>
        <w:rPr>
          <w:rFonts w:cstheme="minorHAnsi"/>
          <w:sz w:val="24"/>
          <w:szCs w:val="24"/>
        </w:rPr>
      </w:pPr>
      <w:r>
        <w:rPr>
          <w:rFonts w:cstheme="minorHAnsi"/>
          <w:sz w:val="24"/>
          <w:szCs w:val="24"/>
        </w:rPr>
        <w:t>The inability, or unwillingne</w:t>
      </w:r>
      <w:r w:rsidR="00E97E3D">
        <w:rPr>
          <w:rFonts w:cstheme="minorHAnsi"/>
          <w:sz w:val="24"/>
          <w:szCs w:val="24"/>
        </w:rPr>
        <w:t>ss, of policymakers to recognize</w:t>
      </w:r>
      <w:r>
        <w:rPr>
          <w:rFonts w:cstheme="minorHAnsi"/>
          <w:sz w:val="24"/>
          <w:szCs w:val="24"/>
        </w:rPr>
        <w:t xml:space="preserve"> the positive feedback between aggregate demand and pr</w:t>
      </w:r>
      <w:r w:rsidR="000F30D4">
        <w:rPr>
          <w:rFonts w:cstheme="minorHAnsi"/>
          <w:sz w:val="24"/>
          <w:szCs w:val="24"/>
        </w:rPr>
        <w:t xml:space="preserve">oductive capacity leads them </w:t>
      </w:r>
      <w:r>
        <w:rPr>
          <w:rFonts w:cstheme="minorHAnsi"/>
          <w:sz w:val="24"/>
          <w:szCs w:val="24"/>
        </w:rPr>
        <w:t xml:space="preserve">to be too cautious, by raising interest rates </w:t>
      </w:r>
      <w:r w:rsidR="000F30D4">
        <w:rPr>
          <w:rFonts w:cstheme="minorHAnsi"/>
          <w:sz w:val="24"/>
          <w:szCs w:val="24"/>
        </w:rPr>
        <w:t>prematurily</w:t>
      </w:r>
      <w:r w:rsidR="00190376">
        <w:rPr>
          <w:rFonts w:cstheme="minorHAnsi"/>
          <w:sz w:val="24"/>
          <w:szCs w:val="24"/>
        </w:rPr>
        <w:t xml:space="preserve"> and/or by conceptualizing government spending </w:t>
      </w:r>
      <w:r w:rsidR="00AE6AAD">
        <w:rPr>
          <w:rFonts w:cstheme="minorHAnsi"/>
          <w:sz w:val="24"/>
          <w:szCs w:val="24"/>
        </w:rPr>
        <w:t xml:space="preserve">merely </w:t>
      </w:r>
      <w:r w:rsidR="00190376">
        <w:rPr>
          <w:rFonts w:cstheme="minorHAnsi"/>
          <w:sz w:val="24"/>
          <w:szCs w:val="24"/>
        </w:rPr>
        <w:t xml:space="preserve">as a quick temporary recession fighting tool, </w:t>
      </w:r>
      <w:r>
        <w:rPr>
          <w:rFonts w:cstheme="minorHAnsi"/>
          <w:sz w:val="24"/>
          <w:szCs w:val="24"/>
        </w:rPr>
        <w:t>with the result of lowering the growth path of the economy</w:t>
      </w:r>
      <w:r w:rsidR="000F30D4">
        <w:rPr>
          <w:rFonts w:cstheme="minorHAnsi"/>
          <w:sz w:val="24"/>
          <w:szCs w:val="24"/>
        </w:rPr>
        <w:t>. Instead of tightening</w:t>
      </w:r>
      <w:r w:rsidR="00190376">
        <w:rPr>
          <w:rFonts w:cstheme="minorHAnsi"/>
          <w:sz w:val="24"/>
          <w:szCs w:val="24"/>
        </w:rPr>
        <w:t xml:space="preserve"> immediately</w:t>
      </w:r>
      <w:r w:rsidR="000F30D4">
        <w:rPr>
          <w:rFonts w:cstheme="minorHAnsi"/>
          <w:sz w:val="24"/>
          <w:szCs w:val="24"/>
        </w:rPr>
        <w:t xml:space="preserve"> </w:t>
      </w:r>
      <w:r w:rsidR="00190376">
        <w:rPr>
          <w:rFonts w:cstheme="minorHAnsi"/>
          <w:sz w:val="24"/>
          <w:szCs w:val="24"/>
        </w:rPr>
        <w:t xml:space="preserve">as inflation rises (or even in anticipation of expected inflation), policymakers </w:t>
      </w:r>
      <w:r w:rsidR="000F30D4">
        <w:rPr>
          <w:rFonts w:cstheme="minorHAnsi"/>
          <w:sz w:val="24"/>
          <w:szCs w:val="24"/>
        </w:rPr>
        <w:t>should give</w:t>
      </w:r>
      <w:r w:rsidR="00190376">
        <w:rPr>
          <w:rFonts w:cstheme="minorHAnsi"/>
          <w:sz w:val="24"/>
          <w:szCs w:val="24"/>
        </w:rPr>
        <w:t xml:space="preserve"> time to </w:t>
      </w:r>
      <w:r w:rsidR="000F30D4">
        <w:rPr>
          <w:rFonts w:cstheme="minorHAnsi"/>
          <w:sz w:val="24"/>
          <w:szCs w:val="24"/>
        </w:rPr>
        <w:t xml:space="preserve">productive capacities </w:t>
      </w:r>
      <w:r w:rsidR="00190376">
        <w:rPr>
          <w:rFonts w:cstheme="minorHAnsi"/>
          <w:sz w:val="24"/>
          <w:szCs w:val="24"/>
        </w:rPr>
        <w:t>to adapt to the growth of demand</w:t>
      </w:r>
      <w:r w:rsidR="000F30D4">
        <w:rPr>
          <w:rFonts w:cstheme="minorHAnsi"/>
          <w:sz w:val="24"/>
          <w:szCs w:val="24"/>
        </w:rPr>
        <w:t xml:space="preserve"> (</w:t>
      </w:r>
      <w:r w:rsidR="000F30D4">
        <w:rPr>
          <w:sz w:val="24"/>
          <w:szCs w:val="24"/>
        </w:rPr>
        <w:t>Fontana</w:t>
      </w:r>
      <w:r w:rsidR="000F30D4" w:rsidRPr="00190376">
        <w:rPr>
          <w:sz w:val="24"/>
          <w:szCs w:val="24"/>
        </w:rPr>
        <w:t xml:space="preserve"> and Palacio-Vera</w:t>
      </w:r>
      <w:r w:rsidR="00190376">
        <w:rPr>
          <w:rFonts w:cstheme="minorHAnsi"/>
          <w:sz w:val="24"/>
          <w:szCs w:val="24"/>
        </w:rPr>
        <w:t xml:space="preserve"> </w:t>
      </w:r>
      <w:r w:rsidR="000F30D4">
        <w:rPr>
          <w:rFonts w:cstheme="minorHAnsi"/>
          <w:sz w:val="24"/>
          <w:szCs w:val="24"/>
        </w:rPr>
        <w:t>2007).</w:t>
      </w:r>
    </w:p>
    <w:p w14:paraId="08155A05" w14:textId="0FB464AA" w:rsidR="00E70CE1" w:rsidRPr="00CA4DA0" w:rsidRDefault="004A35A3" w:rsidP="002C4268">
      <w:pPr>
        <w:ind w:firstLine="720"/>
        <w:rPr>
          <w:rFonts w:cstheme="minorHAnsi"/>
          <w:sz w:val="24"/>
          <w:szCs w:val="24"/>
        </w:rPr>
      </w:pPr>
      <w:r w:rsidRPr="00CA4DA0">
        <w:rPr>
          <w:rFonts w:cstheme="minorHAnsi"/>
          <w:sz w:val="24"/>
          <w:szCs w:val="24"/>
        </w:rPr>
        <w:t xml:space="preserve">There is today ample role for governments </w:t>
      </w:r>
      <w:r w:rsidR="00C00724" w:rsidRPr="00CA4DA0">
        <w:rPr>
          <w:rFonts w:cstheme="minorHAnsi"/>
          <w:sz w:val="24"/>
          <w:szCs w:val="24"/>
        </w:rPr>
        <w:t>to tackle several major challenges</w:t>
      </w:r>
      <w:r w:rsidR="00A0344D">
        <w:rPr>
          <w:rFonts w:cstheme="minorHAnsi"/>
          <w:sz w:val="24"/>
          <w:szCs w:val="24"/>
        </w:rPr>
        <w:t xml:space="preserve"> </w:t>
      </w:r>
      <w:r w:rsidR="00A0344D" w:rsidRPr="00CA4DA0">
        <w:rPr>
          <w:rFonts w:cstheme="minorHAnsi"/>
          <w:sz w:val="24"/>
          <w:szCs w:val="24"/>
        </w:rPr>
        <w:t>of developed economies</w:t>
      </w:r>
      <w:r w:rsidR="00C00724" w:rsidRPr="00CA4DA0">
        <w:rPr>
          <w:rFonts w:cstheme="minorHAnsi"/>
          <w:sz w:val="24"/>
          <w:szCs w:val="24"/>
        </w:rPr>
        <w:t>; their population is aging,</w:t>
      </w:r>
      <w:r w:rsidR="00AB2E1B" w:rsidRPr="00CA4DA0">
        <w:rPr>
          <w:rFonts w:cstheme="minorHAnsi"/>
          <w:sz w:val="24"/>
          <w:szCs w:val="24"/>
        </w:rPr>
        <w:t xml:space="preserve"> trillions of dollars of </w:t>
      </w:r>
      <w:r w:rsidR="00C00724" w:rsidRPr="00CA4DA0">
        <w:rPr>
          <w:rFonts w:cstheme="minorHAnsi"/>
          <w:sz w:val="24"/>
          <w:szCs w:val="24"/>
        </w:rPr>
        <w:t xml:space="preserve">infrastructure </w:t>
      </w:r>
      <w:r w:rsidR="00AB2E1B" w:rsidRPr="00CA4DA0">
        <w:rPr>
          <w:rFonts w:cstheme="minorHAnsi"/>
          <w:sz w:val="24"/>
          <w:szCs w:val="24"/>
        </w:rPr>
        <w:t xml:space="preserve">upgrade and expansion </w:t>
      </w:r>
      <w:r w:rsidR="00C00724" w:rsidRPr="00CA4DA0">
        <w:rPr>
          <w:rFonts w:cstheme="minorHAnsi"/>
          <w:sz w:val="24"/>
          <w:szCs w:val="24"/>
        </w:rPr>
        <w:t xml:space="preserve">are needed </w:t>
      </w:r>
      <w:r w:rsidR="002A2723" w:rsidRPr="00CA4DA0">
        <w:rPr>
          <w:rFonts w:cstheme="minorHAnsi"/>
          <w:sz w:val="24"/>
          <w:szCs w:val="24"/>
        </w:rPr>
        <w:t>(</w:t>
      </w:r>
      <w:r w:rsidR="009B361B" w:rsidRPr="00CA4DA0">
        <w:rPr>
          <w:rFonts w:cstheme="minorHAnsi"/>
          <w:sz w:val="24"/>
          <w:szCs w:val="24"/>
        </w:rPr>
        <w:t>American Society of Civil Engineers 2021</w:t>
      </w:r>
      <w:r w:rsidR="002A2723" w:rsidRPr="00CA4DA0">
        <w:rPr>
          <w:rFonts w:cstheme="minorHAnsi"/>
          <w:sz w:val="24"/>
          <w:szCs w:val="24"/>
        </w:rPr>
        <w:t>)</w:t>
      </w:r>
      <w:r w:rsidR="00773C9F" w:rsidRPr="00CA4DA0">
        <w:rPr>
          <w:rFonts w:cstheme="minorHAnsi"/>
          <w:sz w:val="24"/>
          <w:szCs w:val="24"/>
        </w:rPr>
        <w:t xml:space="preserve"> and c</w:t>
      </w:r>
      <w:r w:rsidR="00C00724" w:rsidRPr="00CA4DA0">
        <w:rPr>
          <w:rFonts w:cstheme="minorHAnsi"/>
          <w:sz w:val="24"/>
          <w:szCs w:val="24"/>
        </w:rPr>
        <w:t>limate change is the major socio-economic threat</w:t>
      </w:r>
      <w:r w:rsidR="00773C9F" w:rsidRPr="00CA4DA0">
        <w:rPr>
          <w:rFonts w:cstheme="minorHAnsi"/>
          <w:sz w:val="24"/>
          <w:szCs w:val="24"/>
        </w:rPr>
        <w:t xml:space="preserve">. </w:t>
      </w:r>
      <w:r w:rsidR="00A0344D">
        <w:rPr>
          <w:rFonts w:cstheme="minorHAnsi"/>
          <w:sz w:val="24"/>
          <w:szCs w:val="24"/>
        </w:rPr>
        <w:t xml:space="preserve">Climate change </w:t>
      </w:r>
      <w:r w:rsidR="00297D7D" w:rsidRPr="00CA4DA0">
        <w:rPr>
          <w:rFonts w:cstheme="minorHAnsi"/>
          <w:sz w:val="24"/>
          <w:szCs w:val="24"/>
        </w:rPr>
        <w:t>requires</w:t>
      </w:r>
      <w:r w:rsidR="00A0344D">
        <w:rPr>
          <w:rFonts w:cstheme="minorHAnsi"/>
          <w:sz w:val="24"/>
          <w:szCs w:val="24"/>
        </w:rPr>
        <w:t>—</w:t>
      </w:r>
      <w:r w:rsidR="00A0344D" w:rsidRPr="00CA4DA0">
        <w:rPr>
          <w:rFonts w:cstheme="minorHAnsi"/>
          <w:sz w:val="24"/>
          <w:szCs w:val="24"/>
        </w:rPr>
        <w:t>in addition to a major environmental policy oriented towar</w:t>
      </w:r>
      <w:r w:rsidR="00A0344D">
        <w:rPr>
          <w:rFonts w:cstheme="minorHAnsi"/>
          <w:sz w:val="24"/>
          <w:szCs w:val="24"/>
        </w:rPr>
        <w:t>d restoration and conservation—</w:t>
      </w:r>
      <w:r w:rsidR="00297D7D" w:rsidRPr="00CA4DA0">
        <w:rPr>
          <w:rFonts w:cstheme="minorHAnsi"/>
          <w:sz w:val="24"/>
          <w:szCs w:val="24"/>
        </w:rPr>
        <w:t>an aggressive, radical</w:t>
      </w:r>
      <w:r w:rsidR="0071326D" w:rsidRPr="00CA4DA0">
        <w:rPr>
          <w:rFonts w:cstheme="minorHAnsi"/>
          <w:sz w:val="24"/>
          <w:szCs w:val="24"/>
        </w:rPr>
        <w:t xml:space="preserve"> and </w:t>
      </w:r>
      <w:r w:rsidR="00CA4103" w:rsidRPr="00CA4DA0">
        <w:rPr>
          <w:rFonts w:cstheme="minorHAnsi"/>
          <w:sz w:val="24"/>
          <w:szCs w:val="24"/>
        </w:rPr>
        <w:t>thorough</w:t>
      </w:r>
      <w:r w:rsidR="00E70CE1" w:rsidRPr="00CA4DA0">
        <w:rPr>
          <w:rFonts w:cstheme="minorHAnsi"/>
          <w:sz w:val="24"/>
          <w:szCs w:val="24"/>
        </w:rPr>
        <w:t xml:space="preserve"> transformation of our energy system</w:t>
      </w:r>
      <w:r w:rsidR="00A0344D">
        <w:rPr>
          <w:rFonts w:cstheme="minorHAnsi"/>
          <w:sz w:val="24"/>
          <w:szCs w:val="24"/>
        </w:rPr>
        <w:t xml:space="preserve"> </w:t>
      </w:r>
      <w:r w:rsidR="00CA4DA0">
        <w:rPr>
          <w:rFonts w:cstheme="minorHAnsi"/>
          <w:sz w:val="24"/>
          <w:szCs w:val="24"/>
        </w:rPr>
        <w:t>centered on keeping</w:t>
      </w:r>
      <w:r w:rsidR="00297D7D" w:rsidRPr="00CA4DA0">
        <w:rPr>
          <w:rFonts w:cstheme="minorHAnsi"/>
          <w:sz w:val="24"/>
          <w:szCs w:val="24"/>
        </w:rPr>
        <w:t xml:space="preserve"> fossil fuel</w:t>
      </w:r>
      <w:r w:rsidR="00CA4DA0">
        <w:rPr>
          <w:rFonts w:cstheme="minorHAnsi"/>
          <w:sz w:val="24"/>
          <w:szCs w:val="24"/>
        </w:rPr>
        <w:t>s</w:t>
      </w:r>
      <w:r w:rsidR="00297D7D" w:rsidRPr="00CA4DA0">
        <w:rPr>
          <w:rFonts w:cstheme="minorHAnsi"/>
          <w:sz w:val="24"/>
          <w:szCs w:val="24"/>
        </w:rPr>
        <w:t xml:space="preserve"> in the ground starting today</w:t>
      </w:r>
      <w:r w:rsidR="00773C9F" w:rsidRPr="00CA4DA0">
        <w:rPr>
          <w:rFonts w:cstheme="minorHAnsi"/>
          <w:sz w:val="24"/>
          <w:szCs w:val="24"/>
        </w:rPr>
        <w:t xml:space="preserve"> (Figure </w:t>
      </w:r>
      <w:r w:rsidR="00A0344D">
        <w:rPr>
          <w:rFonts w:cstheme="minorHAnsi"/>
          <w:sz w:val="24"/>
          <w:szCs w:val="24"/>
        </w:rPr>
        <w:t>8</w:t>
      </w:r>
      <w:r w:rsidR="00773C9F" w:rsidRPr="00CA4DA0">
        <w:rPr>
          <w:rFonts w:cstheme="minorHAnsi"/>
          <w:sz w:val="24"/>
          <w:szCs w:val="24"/>
        </w:rPr>
        <w:t>)</w:t>
      </w:r>
      <w:r w:rsidR="009D34F4" w:rsidRPr="00CA4DA0">
        <w:rPr>
          <w:rFonts w:cstheme="minorHAnsi"/>
          <w:sz w:val="24"/>
          <w:szCs w:val="24"/>
        </w:rPr>
        <w:t xml:space="preserve">: </w:t>
      </w:r>
    </w:p>
    <w:p w14:paraId="490F5492" w14:textId="1B9D038C" w:rsidR="00E70CE1" w:rsidRPr="00CA4DA0" w:rsidRDefault="00CA4103" w:rsidP="00CA4DA0">
      <w:pPr>
        <w:pStyle w:val="Quote"/>
        <w:rPr>
          <w:rFonts w:cstheme="minorHAnsi"/>
          <w:color w:val="auto"/>
          <w:sz w:val="24"/>
          <w:szCs w:val="24"/>
        </w:rPr>
      </w:pPr>
      <w:r w:rsidRPr="00CA4DA0">
        <w:rPr>
          <w:rFonts w:cstheme="minorHAnsi"/>
          <w:color w:val="auto"/>
          <w:sz w:val="24"/>
          <w:szCs w:val="24"/>
        </w:rPr>
        <w:t>If</w:t>
      </w:r>
      <w:r w:rsidR="00E70CE1" w:rsidRPr="00CA4DA0">
        <w:rPr>
          <w:rFonts w:cstheme="minorHAnsi"/>
          <w:color w:val="auto"/>
          <w:sz w:val="24"/>
          <w:szCs w:val="24"/>
        </w:rPr>
        <w:t xml:space="preserve"> we are to have a fighting chance of reaching net zero by 2050 and limiting the rise in global temperatures to 1.5 °C […] our Roadmap shows that there are still pathways to reach net zero by 2050. The […] most technically feasible, cost‐effective and socially acceptable </w:t>
      </w:r>
      <w:r w:rsidR="00CA4DA0">
        <w:rPr>
          <w:rFonts w:cstheme="minorHAnsi"/>
          <w:color w:val="auto"/>
          <w:sz w:val="24"/>
          <w:szCs w:val="24"/>
        </w:rPr>
        <w:t xml:space="preserve">[pathway] </w:t>
      </w:r>
      <w:r w:rsidR="00E70CE1" w:rsidRPr="00CA4DA0">
        <w:rPr>
          <w:rFonts w:cstheme="minorHAnsi"/>
          <w:color w:val="auto"/>
          <w:sz w:val="24"/>
          <w:szCs w:val="24"/>
        </w:rPr>
        <w:t xml:space="preserve">[…] requires vast amounts of investment, innovation, skilful policy design and implementation, technology deployment, infrastructure building, international co‐operation and efforts across many other areas […] </w:t>
      </w:r>
      <w:r w:rsidR="00E70CE1" w:rsidRPr="00CA4DA0">
        <w:rPr>
          <w:rFonts w:cstheme="minorHAnsi"/>
          <w:bCs/>
          <w:color w:val="auto"/>
          <w:sz w:val="24"/>
          <w:szCs w:val="24"/>
        </w:rPr>
        <w:t xml:space="preserve">The energy sector is the source of around three‐quarters of greenhouse gas emissions today and holds the key to averting the worst effects of climate change, perhaps the greatest challenge humankind has faced. </w:t>
      </w:r>
      <w:r w:rsidR="009D34F4" w:rsidRPr="00CA4DA0">
        <w:rPr>
          <w:rFonts w:cstheme="minorHAnsi"/>
          <w:color w:val="auto"/>
          <w:sz w:val="24"/>
          <w:szCs w:val="24"/>
        </w:rPr>
        <w:t xml:space="preserve">[…] </w:t>
      </w:r>
      <w:r w:rsidR="00E70CE1" w:rsidRPr="00CA4DA0">
        <w:rPr>
          <w:rFonts w:cstheme="minorHAnsi"/>
          <w:color w:val="auto"/>
          <w:sz w:val="24"/>
          <w:szCs w:val="24"/>
        </w:rPr>
        <w:t xml:space="preserve"> This calls for nothing less than a complete transformation of how we produce, transport and consume energy. […] </w:t>
      </w:r>
      <w:r w:rsidR="00E70CE1" w:rsidRPr="00CA4DA0">
        <w:rPr>
          <w:rFonts w:cstheme="minorHAnsi"/>
          <w:bCs/>
          <w:color w:val="auto"/>
          <w:sz w:val="24"/>
          <w:szCs w:val="24"/>
        </w:rPr>
        <w:t xml:space="preserve">The global pathway to </w:t>
      </w:r>
      <w:r w:rsidR="00E70CE1" w:rsidRPr="00CA4DA0">
        <w:rPr>
          <w:rFonts w:cstheme="minorHAnsi"/>
          <w:bCs/>
          <w:color w:val="auto"/>
          <w:sz w:val="24"/>
          <w:szCs w:val="24"/>
        </w:rPr>
        <w:lastRenderedPageBreak/>
        <w:t xml:space="preserve">net‐zero emissions by 2050 </w:t>
      </w:r>
      <w:r w:rsidR="00297D7D" w:rsidRPr="00CA4DA0">
        <w:rPr>
          <w:rFonts w:cstheme="minorHAnsi"/>
          <w:bCs/>
          <w:color w:val="auto"/>
          <w:sz w:val="24"/>
          <w:szCs w:val="24"/>
        </w:rPr>
        <w:t>[…]</w:t>
      </w:r>
      <w:r w:rsidR="00E70CE1" w:rsidRPr="00CA4DA0">
        <w:rPr>
          <w:rFonts w:cstheme="minorHAnsi"/>
          <w:bCs/>
          <w:color w:val="auto"/>
          <w:sz w:val="24"/>
          <w:szCs w:val="24"/>
        </w:rPr>
        <w:t xml:space="preserve"> requires all governments to significantly strengthen and then successfully implement their energy and climate policies. […]. </w:t>
      </w:r>
      <w:r w:rsidR="00E70CE1" w:rsidRPr="00CA4DA0">
        <w:rPr>
          <w:rFonts w:cstheme="minorHAnsi"/>
          <w:color w:val="auto"/>
          <w:sz w:val="24"/>
          <w:szCs w:val="24"/>
        </w:rPr>
        <w:t xml:space="preserve">Major innovation efforts must occur over this decade in order to bring these new technologies to market in time. […] </w:t>
      </w:r>
      <w:r w:rsidR="00E70CE1" w:rsidRPr="00CA4DA0">
        <w:rPr>
          <w:rFonts w:cstheme="minorHAnsi"/>
          <w:bCs/>
          <w:color w:val="auto"/>
          <w:sz w:val="24"/>
          <w:szCs w:val="24"/>
        </w:rPr>
        <w:t xml:space="preserve">Clean energy innovation must accelerate rapidly, with governments putting R&amp;D, demonstration and deployment at the core of energy and climate policy. </w:t>
      </w:r>
      <w:r w:rsidR="00E70CE1" w:rsidRPr="00CA4DA0">
        <w:rPr>
          <w:rFonts w:cstheme="minorHAnsi"/>
          <w:color w:val="auto"/>
          <w:sz w:val="24"/>
          <w:szCs w:val="24"/>
        </w:rPr>
        <w:t xml:space="preserve">Government R&amp;D spending needs to be increased and reprioritised. […] </w:t>
      </w:r>
      <w:r w:rsidR="00CA4DA0" w:rsidRPr="00CA4DA0">
        <w:rPr>
          <w:rFonts w:cstheme="minorHAnsi"/>
          <w:color w:val="auto"/>
          <w:sz w:val="24"/>
          <w:szCs w:val="24"/>
        </w:rPr>
        <w:t>There is no need for investment in new fossil fuel supply in our net zero</w:t>
      </w:r>
      <w:r w:rsidR="00CA4DA0">
        <w:rPr>
          <w:rFonts w:cstheme="minorHAnsi"/>
          <w:color w:val="auto"/>
          <w:sz w:val="24"/>
          <w:szCs w:val="24"/>
        </w:rPr>
        <w:t xml:space="preserve"> </w:t>
      </w:r>
      <w:r w:rsidR="00CA4DA0" w:rsidRPr="00CA4DA0">
        <w:rPr>
          <w:rFonts w:cstheme="minorHAnsi"/>
          <w:color w:val="auto"/>
          <w:sz w:val="24"/>
          <w:szCs w:val="24"/>
        </w:rPr>
        <w:t>pathway</w:t>
      </w:r>
      <w:r w:rsidR="00CA4DA0">
        <w:rPr>
          <w:rFonts w:cstheme="minorHAnsi"/>
          <w:color w:val="auto"/>
          <w:sz w:val="24"/>
          <w:szCs w:val="24"/>
        </w:rPr>
        <w:t xml:space="preserve">. </w:t>
      </w:r>
      <w:r w:rsidR="00E70CE1" w:rsidRPr="00CA4DA0">
        <w:rPr>
          <w:rFonts w:cstheme="minorHAnsi"/>
          <w:bCs/>
          <w:color w:val="auto"/>
          <w:sz w:val="24"/>
          <w:szCs w:val="24"/>
        </w:rPr>
        <w:t xml:space="preserve">Beyond projects already committed as of 2021, there are no new oil and gas fields approved for development in our pathway, and no new coal mines or mine extensions are required. </w:t>
      </w:r>
      <w:r w:rsidR="009D34F4" w:rsidRPr="00CA4DA0">
        <w:rPr>
          <w:rFonts w:cstheme="minorHAnsi"/>
          <w:color w:val="auto"/>
          <w:sz w:val="24"/>
          <w:szCs w:val="24"/>
        </w:rPr>
        <w:t>(International Energy Agency 2021)</w:t>
      </w:r>
    </w:p>
    <w:p w14:paraId="48552B45" w14:textId="46BF6635" w:rsidR="009D34F4" w:rsidRDefault="00773C9F" w:rsidP="00E70CE1">
      <w:pPr>
        <w:rPr>
          <w:rFonts w:cstheme="minorHAnsi"/>
          <w:sz w:val="24"/>
          <w:szCs w:val="24"/>
        </w:rPr>
      </w:pPr>
      <w:r w:rsidRPr="00CA4DA0">
        <w:rPr>
          <w:rFonts w:cstheme="minorHAnsi"/>
          <w:sz w:val="24"/>
          <w:szCs w:val="24"/>
        </w:rPr>
        <w:t xml:space="preserve">This sort of </w:t>
      </w:r>
      <w:r w:rsidR="00297D7D" w:rsidRPr="00CA4DA0">
        <w:rPr>
          <w:rFonts w:cstheme="minorHAnsi"/>
          <w:sz w:val="24"/>
          <w:szCs w:val="24"/>
        </w:rPr>
        <w:t>drastic</w:t>
      </w:r>
      <w:r w:rsidRPr="00CA4DA0">
        <w:rPr>
          <w:rFonts w:cstheme="minorHAnsi"/>
          <w:sz w:val="24"/>
          <w:szCs w:val="24"/>
        </w:rPr>
        <w:t xml:space="preserve"> shift in economic structure</w:t>
      </w:r>
      <w:r w:rsidR="000F30D4">
        <w:rPr>
          <w:rFonts w:cstheme="minorHAnsi"/>
          <w:sz w:val="24"/>
          <w:szCs w:val="24"/>
        </w:rPr>
        <w:t>, similar to what happen</w:t>
      </w:r>
      <w:r w:rsidR="00184CD0">
        <w:rPr>
          <w:rFonts w:cstheme="minorHAnsi"/>
          <w:sz w:val="24"/>
          <w:szCs w:val="24"/>
        </w:rPr>
        <w:t>ed</w:t>
      </w:r>
      <w:r w:rsidR="000F30D4">
        <w:rPr>
          <w:rFonts w:cstheme="minorHAnsi"/>
          <w:sz w:val="24"/>
          <w:szCs w:val="24"/>
        </w:rPr>
        <w:t xml:space="preserve"> during World War Two,</w:t>
      </w:r>
      <w:r w:rsidRPr="00CA4DA0">
        <w:rPr>
          <w:rFonts w:cstheme="minorHAnsi"/>
          <w:sz w:val="24"/>
          <w:szCs w:val="24"/>
        </w:rPr>
        <w:t xml:space="preserve"> </w:t>
      </w:r>
      <w:r w:rsidR="00C9669F">
        <w:rPr>
          <w:rFonts w:cstheme="minorHAnsi"/>
          <w:sz w:val="24"/>
          <w:szCs w:val="24"/>
        </w:rPr>
        <w:t>is</w:t>
      </w:r>
      <w:r w:rsidR="008360AC">
        <w:rPr>
          <w:rFonts w:cstheme="minorHAnsi"/>
          <w:sz w:val="24"/>
          <w:szCs w:val="24"/>
        </w:rPr>
        <w:t xml:space="preserve"> manageable but </w:t>
      </w:r>
      <w:r w:rsidRPr="00CA4DA0">
        <w:rPr>
          <w:rFonts w:cstheme="minorHAnsi"/>
          <w:sz w:val="24"/>
          <w:szCs w:val="24"/>
        </w:rPr>
        <w:t>can only be done under the stewardship of governments. G</w:t>
      </w:r>
      <w:r w:rsidR="00F37526" w:rsidRPr="00CA4DA0">
        <w:rPr>
          <w:rFonts w:cstheme="minorHAnsi"/>
          <w:sz w:val="24"/>
          <w:szCs w:val="24"/>
        </w:rPr>
        <w:t>overnment</w:t>
      </w:r>
      <w:r w:rsidR="009D34F4" w:rsidRPr="00CA4DA0">
        <w:rPr>
          <w:rFonts w:cstheme="minorHAnsi"/>
          <w:sz w:val="24"/>
          <w:szCs w:val="24"/>
        </w:rPr>
        <w:t xml:space="preserve">s, </w:t>
      </w:r>
      <w:r w:rsidR="00CA4103" w:rsidRPr="00CA4DA0">
        <w:rPr>
          <w:rFonts w:cstheme="minorHAnsi"/>
          <w:sz w:val="24"/>
          <w:szCs w:val="24"/>
        </w:rPr>
        <w:t>throughout</w:t>
      </w:r>
      <w:r w:rsidR="009D34F4" w:rsidRPr="00CA4DA0">
        <w:rPr>
          <w:rFonts w:cstheme="minorHAnsi"/>
          <w:sz w:val="24"/>
          <w:szCs w:val="24"/>
        </w:rPr>
        <w:t xml:space="preserve"> the developed </w:t>
      </w:r>
      <w:r w:rsidR="00C9669F">
        <w:rPr>
          <w:rFonts w:cstheme="minorHAnsi"/>
          <w:sz w:val="24"/>
          <w:szCs w:val="24"/>
        </w:rPr>
        <w:t xml:space="preserve">world </w:t>
      </w:r>
      <w:r w:rsidR="009D34F4" w:rsidRPr="00CA4DA0">
        <w:rPr>
          <w:rFonts w:cstheme="minorHAnsi"/>
          <w:sz w:val="24"/>
          <w:szCs w:val="24"/>
        </w:rPr>
        <w:t>especially,</w:t>
      </w:r>
      <w:r w:rsidR="00F37526" w:rsidRPr="00CA4DA0">
        <w:rPr>
          <w:rFonts w:cstheme="minorHAnsi"/>
          <w:sz w:val="24"/>
          <w:szCs w:val="24"/>
        </w:rPr>
        <w:t xml:space="preserve"> </w:t>
      </w:r>
      <w:r w:rsidR="009D34F4" w:rsidRPr="00CA4DA0">
        <w:rPr>
          <w:rFonts w:cstheme="minorHAnsi"/>
          <w:sz w:val="24"/>
          <w:szCs w:val="24"/>
        </w:rPr>
        <w:t>need to mobilize</w:t>
      </w:r>
      <w:r w:rsidR="000F30D4">
        <w:rPr>
          <w:rFonts w:cstheme="minorHAnsi"/>
          <w:sz w:val="24"/>
          <w:szCs w:val="24"/>
        </w:rPr>
        <w:t xml:space="preserve"> their domestic</w:t>
      </w:r>
      <w:r w:rsidR="009D34F4" w:rsidRPr="00CA4DA0">
        <w:rPr>
          <w:rFonts w:cstheme="minorHAnsi"/>
          <w:sz w:val="24"/>
          <w:szCs w:val="24"/>
        </w:rPr>
        <w:t xml:space="preserve"> resources if a rapid transition to clean energy is to occur. Governments </w:t>
      </w:r>
      <w:r w:rsidR="00C00724" w:rsidRPr="00CA4DA0">
        <w:rPr>
          <w:rFonts w:cstheme="minorHAnsi"/>
          <w:sz w:val="24"/>
          <w:szCs w:val="24"/>
        </w:rPr>
        <w:t>will be needed to meet these challenges</w:t>
      </w:r>
      <w:r w:rsidR="000F30D4">
        <w:rPr>
          <w:rFonts w:cstheme="minorHAnsi"/>
          <w:sz w:val="24"/>
          <w:szCs w:val="24"/>
        </w:rPr>
        <w:t xml:space="preserve"> at all levels of the economy</w:t>
      </w:r>
      <w:r w:rsidR="00F37526" w:rsidRPr="00CA4DA0">
        <w:rPr>
          <w:rFonts w:cstheme="minorHAnsi"/>
          <w:sz w:val="24"/>
          <w:szCs w:val="24"/>
        </w:rPr>
        <w:t xml:space="preserve">, from research </w:t>
      </w:r>
      <w:r w:rsidR="00297D7D" w:rsidRPr="00CA4DA0">
        <w:rPr>
          <w:rFonts w:cstheme="minorHAnsi"/>
          <w:sz w:val="24"/>
          <w:szCs w:val="24"/>
        </w:rPr>
        <w:t>and</w:t>
      </w:r>
      <w:r w:rsidR="00F37526" w:rsidRPr="00CA4DA0">
        <w:rPr>
          <w:rFonts w:cstheme="minorHAnsi"/>
          <w:sz w:val="24"/>
          <w:szCs w:val="24"/>
        </w:rPr>
        <w:t xml:space="preserve"> development, to the transition from invention to innovation, to the spread of new technology in the </w:t>
      </w:r>
      <w:r w:rsidR="009D34F4" w:rsidRPr="00CA4DA0">
        <w:rPr>
          <w:rFonts w:cstheme="minorHAnsi"/>
          <w:sz w:val="24"/>
          <w:szCs w:val="24"/>
        </w:rPr>
        <w:t>economy</w:t>
      </w:r>
      <w:r w:rsidR="000F30D4">
        <w:rPr>
          <w:rFonts w:cstheme="minorHAnsi"/>
          <w:sz w:val="24"/>
          <w:szCs w:val="24"/>
        </w:rPr>
        <w:t xml:space="preserve"> by creating and promoting markets</w:t>
      </w:r>
      <w:r w:rsidR="009D34F4" w:rsidRPr="00CA4DA0">
        <w:rPr>
          <w:rFonts w:cstheme="minorHAnsi"/>
          <w:sz w:val="24"/>
          <w:szCs w:val="24"/>
        </w:rPr>
        <w:t>, which is some</w:t>
      </w:r>
      <w:r w:rsidR="00F37526" w:rsidRPr="00CA4DA0">
        <w:rPr>
          <w:rFonts w:cstheme="minorHAnsi"/>
          <w:sz w:val="24"/>
          <w:szCs w:val="24"/>
        </w:rPr>
        <w:t xml:space="preserve">thing governments have done on a routine basis </w:t>
      </w:r>
      <w:r w:rsidR="009D34F4" w:rsidRPr="00CA4DA0">
        <w:rPr>
          <w:rFonts w:cstheme="minorHAnsi"/>
          <w:sz w:val="24"/>
          <w:szCs w:val="24"/>
        </w:rPr>
        <w:t xml:space="preserve">for many decades </w:t>
      </w:r>
      <w:r w:rsidR="00F37526" w:rsidRPr="00CA4DA0">
        <w:rPr>
          <w:rFonts w:cstheme="minorHAnsi"/>
          <w:sz w:val="24"/>
          <w:szCs w:val="24"/>
        </w:rPr>
        <w:t>(Mazzucato 1995)</w:t>
      </w:r>
      <w:r w:rsidR="00357F2B" w:rsidRPr="00CA4DA0">
        <w:rPr>
          <w:rFonts w:cstheme="minorHAnsi"/>
          <w:sz w:val="24"/>
          <w:szCs w:val="24"/>
        </w:rPr>
        <w:t>. Through such a policy, government</w:t>
      </w:r>
      <w:r w:rsidR="000F30D4">
        <w:rPr>
          <w:rFonts w:cstheme="minorHAnsi"/>
          <w:sz w:val="24"/>
          <w:szCs w:val="24"/>
        </w:rPr>
        <w:t>s</w:t>
      </w:r>
      <w:r w:rsidR="00357F2B" w:rsidRPr="00CA4DA0">
        <w:rPr>
          <w:rFonts w:cstheme="minorHAnsi"/>
          <w:sz w:val="24"/>
          <w:szCs w:val="24"/>
        </w:rPr>
        <w:t xml:space="preserve"> will help create many jobs</w:t>
      </w:r>
      <w:r w:rsidR="000F79CA" w:rsidRPr="00CA4DA0">
        <w:rPr>
          <w:rFonts w:cstheme="minorHAnsi"/>
          <w:sz w:val="24"/>
          <w:szCs w:val="24"/>
        </w:rPr>
        <w:t>,</w:t>
      </w:r>
      <w:r w:rsidR="00357F2B" w:rsidRPr="00CA4DA0">
        <w:rPr>
          <w:rFonts w:cstheme="minorHAnsi"/>
          <w:sz w:val="24"/>
          <w:szCs w:val="24"/>
        </w:rPr>
        <w:t xml:space="preserve"> retrain the labor force</w:t>
      </w:r>
      <w:r w:rsidR="000F79CA" w:rsidRPr="00CA4DA0">
        <w:rPr>
          <w:rFonts w:cstheme="minorHAnsi"/>
          <w:sz w:val="24"/>
          <w:szCs w:val="24"/>
        </w:rPr>
        <w:t xml:space="preserve">, and put </w:t>
      </w:r>
      <w:r w:rsidR="004C1ED1">
        <w:rPr>
          <w:rFonts w:cstheme="minorHAnsi"/>
          <w:sz w:val="24"/>
          <w:szCs w:val="24"/>
        </w:rPr>
        <w:t>economies</w:t>
      </w:r>
      <w:r w:rsidR="000F79CA" w:rsidRPr="00CA4DA0">
        <w:rPr>
          <w:rFonts w:cstheme="minorHAnsi"/>
          <w:sz w:val="24"/>
          <w:szCs w:val="24"/>
        </w:rPr>
        <w:t xml:space="preserve"> on a more </w:t>
      </w:r>
      <w:r w:rsidR="00AE6AAD" w:rsidRPr="00CA4DA0">
        <w:rPr>
          <w:rFonts w:cstheme="minorHAnsi"/>
          <w:sz w:val="24"/>
          <w:szCs w:val="24"/>
        </w:rPr>
        <w:t>ecologically</w:t>
      </w:r>
      <w:r w:rsidR="000F79CA" w:rsidRPr="00CA4DA0">
        <w:rPr>
          <w:rFonts w:cstheme="minorHAnsi"/>
          <w:sz w:val="24"/>
          <w:szCs w:val="24"/>
        </w:rPr>
        <w:t xml:space="preserve"> sustainable growth path</w:t>
      </w:r>
      <w:r w:rsidR="00357F2B" w:rsidRPr="00CA4DA0">
        <w:rPr>
          <w:rFonts w:cstheme="minorHAnsi"/>
          <w:sz w:val="24"/>
          <w:szCs w:val="24"/>
        </w:rPr>
        <w:t xml:space="preserve">. </w:t>
      </w:r>
    </w:p>
    <w:p w14:paraId="08783DA3" w14:textId="40E9DF60" w:rsidR="002747B5" w:rsidRDefault="009D34F4" w:rsidP="000F30D4">
      <w:pPr>
        <w:ind w:firstLine="720"/>
        <w:rPr>
          <w:rFonts w:cstheme="minorHAnsi"/>
          <w:sz w:val="24"/>
          <w:szCs w:val="24"/>
        </w:rPr>
      </w:pPr>
      <w:r w:rsidRPr="00CA4DA0">
        <w:rPr>
          <w:rFonts w:cstheme="minorHAnsi"/>
          <w:sz w:val="24"/>
          <w:szCs w:val="24"/>
        </w:rPr>
        <w:t>T</w:t>
      </w:r>
      <w:r w:rsidR="00F40B32" w:rsidRPr="00CA4DA0">
        <w:rPr>
          <w:rFonts w:cstheme="minorHAnsi"/>
          <w:sz w:val="24"/>
          <w:szCs w:val="24"/>
        </w:rPr>
        <w:t>hese increases</w:t>
      </w:r>
      <w:r w:rsidRPr="00CA4DA0">
        <w:rPr>
          <w:rFonts w:cstheme="minorHAnsi"/>
          <w:sz w:val="24"/>
          <w:szCs w:val="24"/>
        </w:rPr>
        <w:t xml:space="preserve"> in government spending may</w:t>
      </w:r>
      <w:r w:rsidR="001702DA" w:rsidRPr="00CA4DA0">
        <w:rPr>
          <w:rFonts w:cstheme="minorHAnsi"/>
          <w:sz w:val="24"/>
          <w:szCs w:val="24"/>
        </w:rPr>
        <w:t xml:space="preserve"> lead to higher</w:t>
      </w:r>
      <w:r w:rsidR="009B2049" w:rsidRPr="00CA4DA0">
        <w:rPr>
          <w:rFonts w:cstheme="minorHAnsi"/>
          <w:sz w:val="24"/>
          <w:szCs w:val="24"/>
        </w:rPr>
        <w:t xml:space="preserve"> fiscal deficit</w:t>
      </w:r>
      <w:r w:rsidR="004A2784" w:rsidRPr="00CA4DA0">
        <w:rPr>
          <w:rFonts w:cstheme="minorHAnsi"/>
          <w:sz w:val="24"/>
          <w:szCs w:val="24"/>
        </w:rPr>
        <w:t>s</w:t>
      </w:r>
      <w:r w:rsidR="009B2049" w:rsidRPr="00CA4DA0">
        <w:rPr>
          <w:rFonts w:cstheme="minorHAnsi"/>
          <w:sz w:val="24"/>
          <w:szCs w:val="24"/>
        </w:rPr>
        <w:t xml:space="preserve"> </w:t>
      </w:r>
      <w:r w:rsidR="004A2784" w:rsidRPr="00CA4DA0">
        <w:rPr>
          <w:rFonts w:cstheme="minorHAnsi"/>
          <w:sz w:val="24"/>
          <w:szCs w:val="24"/>
        </w:rPr>
        <w:t>relative to the size of the</w:t>
      </w:r>
      <w:r w:rsidR="001702DA" w:rsidRPr="00CA4DA0">
        <w:rPr>
          <w:rFonts w:cstheme="minorHAnsi"/>
          <w:sz w:val="24"/>
          <w:szCs w:val="24"/>
        </w:rPr>
        <w:t xml:space="preserve"> U</w:t>
      </w:r>
      <w:r w:rsidR="006F3B86" w:rsidRPr="00CA4DA0">
        <w:rPr>
          <w:rFonts w:cstheme="minorHAnsi"/>
          <w:sz w:val="24"/>
          <w:szCs w:val="24"/>
        </w:rPr>
        <w:t>.</w:t>
      </w:r>
      <w:r w:rsidR="001702DA" w:rsidRPr="00CA4DA0">
        <w:rPr>
          <w:rFonts w:cstheme="minorHAnsi"/>
          <w:sz w:val="24"/>
          <w:szCs w:val="24"/>
        </w:rPr>
        <w:t>S</w:t>
      </w:r>
      <w:r w:rsidR="006F3B86" w:rsidRPr="00CA4DA0">
        <w:rPr>
          <w:rFonts w:cstheme="minorHAnsi"/>
          <w:sz w:val="24"/>
          <w:szCs w:val="24"/>
        </w:rPr>
        <w:t>.</w:t>
      </w:r>
      <w:r w:rsidR="004A2784" w:rsidRPr="00CA4DA0">
        <w:rPr>
          <w:rFonts w:cstheme="minorHAnsi"/>
          <w:sz w:val="24"/>
          <w:szCs w:val="24"/>
        </w:rPr>
        <w:t xml:space="preserve"> economy</w:t>
      </w:r>
      <w:r w:rsidR="00AB2E1B" w:rsidRPr="00CA4DA0">
        <w:rPr>
          <w:rFonts w:cstheme="minorHAnsi"/>
          <w:sz w:val="24"/>
          <w:szCs w:val="24"/>
        </w:rPr>
        <w:t>. The tendency toward higher deficit</w:t>
      </w:r>
      <w:r w:rsidR="007614B3">
        <w:rPr>
          <w:rFonts w:cstheme="minorHAnsi"/>
          <w:sz w:val="24"/>
          <w:szCs w:val="24"/>
        </w:rPr>
        <w:t>s</w:t>
      </w:r>
      <w:r w:rsidR="00AB2E1B" w:rsidRPr="00CA4DA0">
        <w:rPr>
          <w:rFonts w:cstheme="minorHAnsi"/>
          <w:sz w:val="24"/>
          <w:szCs w:val="24"/>
        </w:rPr>
        <w:t xml:space="preserve">, however, </w:t>
      </w:r>
      <w:r w:rsidR="00917F66" w:rsidRPr="00CA4DA0">
        <w:rPr>
          <w:rFonts w:cstheme="minorHAnsi"/>
          <w:sz w:val="24"/>
          <w:szCs w:val="24"/>
        </w:rPr>
        <w:t>will</w:t>
      </w:r>
      <w:r w:rsidR="00AB2E1B" w:rsidRPr="00CA4DA0">
        <w:rPr>
          <w:rFonts w:cstheme="minorHAnsi"/>
          <w:sz w:val="24"/>
          <w:szCs w:val="24"/>
        </w:rPr>
        <w:t xml:space="preserve"> be mitigated by </w:t>
      </w:r>
      <w:r w:rsidR="00425115" w:rsidRPr="00CA4DA0">
        <w:rPr>
          <w:rFonts w:cstheme="minorHAnsi"/>
          <w:sz w:val="24"/>
          <w:szCs w:val="24"/>
        </w:rPr>
        <w:t>the</w:t>
      </w:r>
      <w:r w:rsidR="00AB2E1B" w:rsidRPr="00CA4DA0">
        <w:rPr>
          <w:rFonts w:cstheme="minorHAnsi"/>
          <w:sz w:val="24"/>
          <w:szCs w:val="24"/>
        </w:rPr>
        <w:t xml:space="preserve"> boost</w:t>
      </w:r>
      <w:r w:rsidR="00425115" w:rsidRPr="00CA4DA0">
        <w:rPr>
          <w:rFonts w:cstheme="minorHAnsi"/>
          <w:sz w:val="24"/>
          <w:szCs w:val="24"/>
        </w:rPr>
        <w:t xml:space="preserve"> to</w:t>
      </w:r>
      <w:r w:rsidR="00AB2E1B" w:rsidRPr="00CA4DA0">
        <w:rPr>
          <w:rFonts w:cstheme="minorHAnsi"/>
          <w:sz w:val="24"/>
          <w:szCs w:val="24"/>
        </w:rPr>
        <w:t xml:space="preserve"> economy growth </w:t>
      </w:r>
      <w:r w:rsidR="00425115" w:rsidRPr="00CA4DA0">
        <w:rPr>
          <w:rFonts w:cstheme="minorHAnsi"/>
          <w:sz w:val="24"/>
          <w:szCs w:val="24"/>
        </w:rPr>
        <w:t>that will</w:t>
      </w:r>
      <w:r w:rsidR="00AB2E1B" w:rsidRPr="00CA4DA0">
        <w:rPr>
          <w:rFonts w:cstheme="minorHAnsi"/>
          <w:sz w:val="24"/>
          <w:szCs w:val="24"/>
        </w:rPr>
        <w:t xml:space="preserve"> raise tax revenues. In any case, </w:t>
      </w:r>
      <w:r w:rsidR="00C67B17" w:rsidRPr="00CA4DA0">
        <w:rPr>
          <w:rFonts w:cstheme="minorHAnsi"/>
          <w:sz w:val="24"/>
          <w:szCs w:val="24"/>
        </w:rPr>
        <w:t>a</w:t>
      </w:r>
      <w:r w:rsidR="009B2049" w:rsidRPr="00CA4DA0">
        <w:rPr>
          <w:rFonts w:cstheme="minorHAnsi"/>
          <w:sz w:val="24"/>
          <w:szCs w:val="24"/>
        </w:rPr>
        <w:t xml:space="preserve"> rapid increase in the </w:t>
      </w:r>
      <w:r w:rsidR="008360AC">
        <w:rPr>
          <w:rFonts w:cstheme="minorHAnsi"/>
          <w:sz w:val="24"/>
          <w:szCs w:val="24"/>
        </w:rPr>
        <w:t xml:space="preserve">domestic-currency </w:t>
      </w:r>
      <w:r w:rsidR="009B2049" w:rsidRPr="00CA4DA0">
        <w:rPr>
          <w:rFonts w:cstheme="minorHAnsi"/>
          <w:sz w:val="24"/>
          <w:szCs w:val="24"/>
        </w:rPr>
        <w:t xml:space="preserve">public debt </w:t>
      </w:r>
      <w:r w:rsidR="008360AC">
        <w:rPr>
          <w:rFonts w:cstheme="minorHAnsi"/>
          <w:sz w:val="24"/>
          <w:szCs w:val="24"/>
        </w:rPr>
        <w:t xml:space="preserve">will not only promote financial stability but also </w:t>
      </w:r>
      <w:r w:rsidR="001702DA" w:rsidRPr="00CA4DA0">
        <w:rPr>
          <w:rFonts w:cstheme="minorHAnsi"/>
          <w:sz w:val="24"/>
          <w:szCs w:val="24"/>
        </w:rPr>
        <w:t>be</w:t>
      </w:r>
      <w:r w:rsidR="009B2049" w:rsidRPr="00CA4DA0">
        <w:rPr>
          <w:rFonts w:cstheme="minorHAnsi"/>
          <w:sz w:val="24"/>
          <w:szCs w:val="24"/>
        </w:rPr>
        <w:t xml:space="preserve"> sustainable as long as interest rate</w:t>
      </w:r>
      <w:r w:rsidR="00E14727" w:rsidRPr="00CA4DA0">
        <w:rPr>
          <w:rFonts w:cstheme="minorHAnsi"/>
          <w:sz w:val="24"/>
          <w:szCs w:val="24"/>
        </w:rPr>
        <w:t>s</w:t>
      </w:r>
      <w:r w:rsidR="00CF0759" w:rsidRPr="00CA4DA0">
        <w:rPr>
          <w:rFonts w:cstheme="minorHAnsi"/>
          <w:sz w:val="24"/>
          <w:szCs w:val="24"/>
        </w:rPr>
        <w:t xml:space="preserve"> on the public debt</w:t>
      </w:r>
      <w:r w:rsidR="009B2049" w:rsidRPr="00CA4DA0">
        <w:rPr>
          <w:rFonts w:cstheme="minorHAnsi"/>
          <w:sz w:val="24"/>
          <w:szCs w:val="24"/>
        </w:rPr>
        <w:t xml:space="preserve"> stay low relative to the growth rate of the economy. </w:t>
      </w:r>
      <w:r w:rsidR="00AB2E1B" w:rsidRPr="00CA4DA0">
        <w:rPr>
          <w:rFonts w:cstheme="minorHAnsi"/>
          <w:sz w:val="24"/>
          <w:szCs w:val="24"/>
        </w:rPr>
        <w:t xml:space="preserve">Some market participants may wonder about the impact of </w:t>
      </w:r>
      <w:r w:rsidR="00C67B17" w:rsidRPr="00CA4DA0">
        <w:rPr>
          <w:rFonts w:cstheme="minorHAnsi"/>
          <w:sz w:val="24"/>
          <w:szCs w:val="24"/>
        </w:rPr>
        <w:t xml:space="preserve">a </w:t>
      </w:r>
      <w:r w:rsidR="00AB2E1B" w:rsidRPr="00CA4DA0">
        <w:rPr>
          <w:rFonts w:cstheme="minorHAnsi"/>
          <w:sz w:val="24"/>
          <w:szCs w:val="24"/>
        </w:rPr>
        <w:t xml:space="preserve">higher public debt on interest rates. </w:t>
      </w:r>
      <w:r w:rsidR="00777A47" w:rsidRPr="00CA4DA0">
        <w:rPr>
          <w:rFonts w:cstheme="minorHAnsi"/>
          <w:sz w:val="24"/>
          <w:szCs w:val="24"/>
        </w:rPr>
        <w:t>As explained above, f</w:t>
      </w:r>
      <w:r w:rsidR="00AB2E1B" w:rsidRPr="00CA4DA0">
        <w:rPr>
          <w:rFonts w:cstheme="minorHAnsi"/>
          <w:sz w:val="24"/>
          <w:szCs w:val="24"/>
        </w:rPr>
        <w:t xml:space="preserve">or economies that are monetarily sovereign such as Japan, the United Kingdom </w:t>
      </w:r>
      <w:r w:rsidR="00BA39CC" w:rsidRPr="00CA4DA0">
        <w:rPr>
          <w:rFonts w:cstheme="minorHAnsi"/>
          <w:sz w:val="24"/>
          <w:szCs w:val="24"/>
        </w:rPr>
        <w:t xml:space="preserve">and </w:t>
      </w:r>
      <w:r w:rsidR="00AB2E1B" w:rsidRPr="00CA4DA0">
        <w:rPr>
          <w:rFonts w:cstheme="minorHAnsi"/>
          <w:sz w:val="24"/>
          <w:szCs w:val="24"/>
        </w:rPr>
        <w:t>the United States, there</w:t>
      </w:r>
      <w:r w:rsidR="00BA39CC" w:rsidRPr="00CA4DA0">
        <w:rPr>
          <w:rFonts w:cstheme="minorHAnsi"/>
          <w:sz w:val="24"/>
          <w:szCs w:val="24"/>
        </w:rPr>
        <w:t>’s</w:t>
      </w:r>
      <w:r w:rsidR="00AB2E1B" w:rsidRPr="00CA4DA0">
        <w:rPr>
          <w:rFonts w:cstheme="minorHAnsi"/>
          <w:sz w:val="24"/>
          <w:szCs w:val="24"/>
        </w:rPr>
        <w:t xml:space="preserve"> no significant relation between the size of government deficits</w:t>
      </w:r>
      <w:r w:rsidR="00E14727" w:rsidRPr="00CA4DA0">
        <w:rPr>
          <w:rFonts w:cstheme="minorHAnsi"/>
          <w:sz w:val="24"/>
          <w:szCs w:val="24"/>
        </w:rPr>
        <w:t xml:space="preserve"> </w:t>
      </w:r>
      <w:r w:rsidR="00C9669F">
        <w:rPr>
          <w:rFonts w:cstheme="minorHAnsi"/>
          <w:sz w:val="24"/>
          <w:szCs w:val="24"/>
        </w:rPr>
        <w:t xml:space="preserve">(or public debt) </w:t>
      </w:r>
      <w:r w:rsidR="00AB2E1B" w:rsidRPr="00CA4DA0">
        <w:rPr>
          <w:rFonts w:cstheme="minorHAnsi"/>
          <w:sz w:val="24"/>
          <w:szCs w:val="24"/>
        </w:rPr>
        <w:t>and interest rates. As usual, c</w:t>
      </w:r>
      <w:r w:rsidR="009B2049" w:rsidRPr="00CA4DA0">
        <w:rPr>
          <w:rFonts w:cstheme="minorHAnsi"/>
          <w:sz w:val="24"/>
          <w:szCs w:val="24"/>
        </w:rPr>
        <w:t>entral banks</w:t>
      </w:r>
      <w:r w:rsidR="00425115" w:rsidRPr="00CA4DA0">
        <w:rPr>
          <w:rFonts w:cstheme="minorHAnsi"/>
          <w:sz w:val="24"/>
          <w:szCs w:val="24"/>
        </w:rPr>
        <w:t>, not bond vigilantes,</w:t>
      </w:r>
      <w:r w:rsidR="009B2049" w:rsidRPr="00CA4DA0">
        <w:rPr>
          <w:rFonts w:cstheme="minorHAnsi"/>
          <w:sz w:val="24"/>
          <w:szCs w:val="24"/>
        </w:rPr>
        <w:t xml:space="preserve"> will </w:t>
      </w:r>
      <w:r w:rsidR="00B97FA0" w:rsidRPr="00CA4DA0">
        <w:rPr>
          <w:rFonts w:cstheme="minorHAnsi"/>
          <w:sz w:val="24"/>
          <w:szCs w:val="24"/>
        </w:rPr>
        <w:t xml:space="preserve">play </w:t>
      </w:r>
      <w:r w:rsidR="009B2049" w:rsidRPr="00CA4DA0">
        <w:rPr>
          <w:rFonts w:cstheme="minorHAnsi"/>
          <w:sz w:val="24"/>
          <w:szCs w:val="24"/>
        </w:rPr>
        <w:t>a major role in accommodating fiscal needs by keeping interest rate</w:t>
      </w:r>
      <w:r w:rsidR="00CF0759" w:rsidRPr="00CA4DA0">
        <w:rPr>
          <w:rFonts w:cstheme="minorHAnsi"/>
          <w:sz w:val="24"/>
          <w:szCs w:val="24"/>
        </w:rPr>
        <w:t>s</w:t>
      </w:r>
      <w:r w:rsidR="009B2049" w:rsidRPr="00CA4DA0">
        <w:rPr>
          <w:rFonts w:cstheme="minorHAnsi"/>
          <w:sz w:val="24"/>
          <w:szCs w:val="24"/>
        </w:rPr>
        <w:t xml:space="preserve"> low enough to make</w:t>
      </w:r>
      <w:r w:rsidR="00F40B32" w:rsidRPr="00CA4DA0">
        <w:rPr>
          <w:rFonts w:cstheme="minorHAnsi"/>
          <w:sz w:val="24"/>
          <w:szCs w:val="24"/>
        </w:rPr>
        <w:t xml:space="preserve"> the</w:t>
      </w:r>
      <w:r w:rsidR="009B2049" w:rsidRPr="00CA4DA0">
        <w:rPr>
          <w:rFonts w:cstheme="minorHAnsi"/>
          <w:sz w:val="24"/>
          <w:szCs w:val="24"/>
        </w:rPr>
        <w:t xml:space="preserve"> public debt sustainable</w:t>
      </w:r>
      <w:r w:rsidR="00CA4103" w:rsidRPr="00CA4DA0">
        <w:rPr>
          <w:rFonts w:cstheme="minorHAnsi"/>
          <w:sz w:val="24"/>
          <w:szCs w:val="24"/>
        </w:rPr>
        <w:t xml:space="preserve"> (Fullwiler 2020, Tymoigne 2020)</w:t>
      </w:r>
      <w:r w:rsidR="009B2049" w:rsidRPr="00CA4DA0">
        <w:rPr>
          <w:rFonts w:cstheme="minorHAnsi"/>
          <w:sz w:val="24"/>
          <w:szCs w:val="24"/>
        </w:rPr>
        <w:t xml:space="preserve">. </w:t>
      </w:r>
    </w:p>
    <w:p w14:paraId="3EF6D490" w14:textId="77777777" w:rsidR="00C9669F" w:rsidRPr="00CA4DA0" w:rsidRDefault="00C9669F" w:rsidP="00C9669F">
      <w:pPr>
        <w:jc w:val="center"/>
        <w:rPr>
          <w:rFonts w:cstheme="minorHAnsi"/>
          <w:sz w:val="24"/>
          <w:szCs w:val="24"/>
        </w:rPr>
      </w:pPr>
      <w:r>
        <w:rPr>
          <w:rFonts w:cstheme="minorHAnsi"/>
          <w:sz w:val="24"/>
          <w:szCs w:val="24"/>
        </w:rPr>
        <w:t>FIGURE 8 HERE</w:t>
      </w:r>
    </w:p>
    <w:p w14:paraId="04616D4C" w14:textId="77777777" w:rsidR="00C9669F" w:rsidRDefault="00C9669F" w:rsidP="00CA4103">
      <w:pPr>
        <w:spacing w:after="0" w:line="240" w:lineRule="auto"/>
        <w:rPr>
          <w:rFonts w:cstheme="minorHAnsi"/>
          <w:b/>
          <w:sz w:val="24"/>
          <w:szCs w:val="24"/>
        </w:rPr>
      </w:pPr>
    </w:p>
    <w:p w14:paraId="728BA374" w14:textId="24D46CDF" w:rsidR="00B70C87" w:rsidRPr="00CA4DA0" w:rsidRDefault="00B70C87" w:rsidP="00CA4103">
      <w:pPr>
        <w:spacing w:after="0" w:line="240" w:lineRule="auto"/>
        <w:rPr>
          <w:rFonts w:cstheme="minorHAnsi"/>
          <w:b/>
          <w:sz w:val="24"/>
          <w:szCs w:val="24"/>
        </w:rPr>
      </w:pPr>
      <w:r w:rsidRPr="00CA4DA0">
        <w:rPr>
          <w:rFonts w:cstheme="minorHAnsi"/>
          <w:b/>
          <w:sz w:val="24"/>
          <w:szCs w:val="24"/>
        </w:rPr>
        <w:t>References</w:t>
      </w:r>
    </w:p>
    <w:p w14:paraId="104CB184" w14:textId="7D946282" w:rsidR="00997362" w:rsidRPr="007C4551" w:rsidRDefault="00997362" w:rsidP="000F79CA">
      <w:pPr>
        <w:autoSpaceDE w:val="0"/>
        <w:autoSpaceDN w:val="0"/>
        <w:adjustRightInd w:val="0"/>
        <w:spacing w:after="0" w:line="240" w:lineRule="auto"/>
        <w:ind w:left="540" w:hanging="540"/>
        <w:rPr>
          <w:rStyle w:val="pagerange"/>
          <w:rFonts w:cstheme="minorHAnsi"/>
          <w:sz w:val="24"/>
          <w:szCs w:val="24"/>
        </w:rPr>
      </w:pPr>
      <w:r w:rsidRPr="007C4551">
        <w:rPr>
          <w:rStyle w:val="authors"/>
          <w:rFonts w:cstheme="minorHAnsi"/>
          <w:sz w:val="24"/>
          <w:szCs w:val="24"/>
        </w:rPr>
        <w:t>Akram, T. and Li, H.</w:t>
      </w:r>
      <w:r w:rsidRPr="007C4551">
        <w:rPr>
          <w:rFonts w:cstheme="minorHAnsi"/>
          <w:sz w:val="24"/>
          <w:szCs w:val="24"/>
        </w:rPr>
        <w:t xml:space="preserve"> </w:t>
      </w:r>
      <w:r w:rsidRPr="007C4551">
        <w:rPr>
          <w:rStyle w:val="Date1"/>
          <w:rFonts w:cstheme="minorHAnsi"/>
          <w:sz w:val="24"/>
          <w:szCs w:val="24"/>
        </w:rPr>
        <w:t>(2020)</w:t>
      </w:r>
      <w:r w:rsidRPr="007C4551">
        <w:rPr>
          <w:rFonts w:cstheme="minorHAnsi"/>
          <w:sz w:val="24"/>
          <w:szCs w:val="24"/>
        </w:rPr>
        <w:t xml:space="preserve"> “</w:t>
      </w:r>
      <w:r w:rsidRPr="007C4551">
        <w:rPr>
          <w:rStyle w:val="arttitle"/>
          <w:rFonts w:cstheme="minorHAnsi"/>
          <w:sz w:val="24"/>
          <w:szCs w:val="24"/>
        </w:rPr>
        <w:t>An inquiry concerning long-term U.S. interest rates using monthly data</w:t>
      </w:r>
      <w:r w:rsidR="00E97E3D" w:rsidRPr="007C4551">
        <w:rPr>
          <w:rStyle w:val="arttitle"/>
          <w:rFonts w:cstheme="minorHAnsi"/>
          <w:sz w:val="24"/>
          <w:szCs w:val="24"/>
        </w:rPr>
        <w:t>,</w:t>
      </w:r>
      <w:r w:rsidRPr="007C4551">
        <w:rPr>
          <w:rStyle w:val="arttitle"/>
          <w:rFonts w:cstheme="minorHAnsi"/>
          <w:sz w:val="24"/>
          <w:szCs w:val="24"/>
        </w:rPr>
        <w:t xml:space="preserve">” </w:t>
      </w:r>
      <w:r w:rsidRPr="007C4551">
        <w:rPr>
          <w:rStyle w:val="serialtitle"/>
          <w:rFonts w:cstheme="minorHAnsi"/>
          <w:i/>
          <w:sz w:val="24"/>
          <w:szCs w:val="24"/>
        </w:rPr>
        <w:t>Applied Economics</w:t>
      </w:r>
      <w:r w:rsidRPr="007C4551">
        <w:rPr>
          <w:rStyle w:val="serialtitle"/>
          <w:rFonts w:cstheme="minorHAnsi"/>
          <w:sz w:val="24"/>
          <w:szCs w:val="24"/>
        </w:rPr>
        <w:t>,</w:t>
      </w:r>
      <w:r w:rsidRPr="007C4551">
        <w:rPr>
          <w:rFonts w:cstheme="minorHAnsi"/>
          <w:sz w:val="24"/>
          <w:szCs w:val="24"/>
        </w:rPr>
        <w:t xml:space="preserve"> </w:t>
      </w:r>
      <w:r w:rsidRPr="007C4551">
        <w:rPr>
          <w:rStyle w:val="volumeissue"/>
          <w:rFonts w:cstheme="minorHAnsi"/>
          <w:sz w:val="24"/>
          <w:szCs w:val="24"/>
        </w:rPr>
        <w:t>52 (24):</w:t>
      </w:r>
      <w:r w:rsidRPr="007C4551">
        <w:rPr>
          <w:rFonts w:cstheme="minorHAnsi"/>
          <w:sz w:val="24"/>
          <w:szCs w:val="24"/>
        </w:rPr>
        <w:t xml:space="preserve"> </w:t>
      </w:r>
      <w:r w:rsidRPr="007C4551">
        <w:rPr>
          <w:rStyle w:val="pagerange"/>
          <w:rFonts w:cstheme="minorHAnsi"/>
          <w:sz w:val="24"/>
          <w:szCs w:val="24"/>
        </w:rPr>
        <w:t>2594-2621</w:t>
      </w:r>
      <w:r w:rsidR="000F79CA" w:rsidRPr="007C4551">
        <w:rPr>
          <w:rStyle w:val="pagerange"/>
          <w:rFonts w:cstheme="minorHAnsi"/>
          <w:sz w:val="24"/>
          <w:szCs w:val="24"/>
        </w:rPr>
        <w:t>.</w:t>
      </w:r>
    </w:p>
    <w:p w14:paraId="6E64E75B" w14:textId="388630EB" w:rsidR="004540C9" w:rsidRPr="007C4551" w:rsidRDefault="004540C9" w:rsidP="000F79CA">
      <w:pPr>
        <w:spacing w:after="0" w:line="240" w:lineRule="auto"/>
        <w:ind w:left="540" w:hanging="540"/>
        <w:rPr>
          <w:rFonts w:cstheme="minorHAnsi"/>
          <w:sz w:val="24"/>
          <w:szCs w:val="24"/>
        </w:rPr>
      </w:pPr>
      <w:r w:rsidRPr="007C4551">
        <w:rPr>
          <w:rFonts w:cstheme="minorHAnsi"/>
          <w:sz w:val="24"/>
          <w:szCs w:val="24"/>
        </w:rPr>
        <w:t xml:space="preserve">American Society of Civil Engineers (2016) </w:t>
      </w:r>
      <w:r w:rsidRPr="007C4551">
        <w:rPr>
          <w:rFonts w:cstheme="minorHAnsi"/>
          <w:i/>
          <w:sz w:val="24"/>
          <w:szCs w:val="24"/>
        </w:rPr>
        <w:t>Failure to Act: Closing the Infrastructure Investment Gap for America’s Economic Future</w:t>
      </w:r>
      <w:r w:rsidRPr="007C4551">
        <w:rPr>
          <w:rFonts w:cstheme="minorHAnsi"/>
          <w:sz w:val="24"/>
          <w:szCs w:val="24"/>
        </w:rPr>
        <w:t xml:space="preserve">. Boston: Economic Development Research Group. </w:t>
      </w:r>
    </w:p>
    <w:p w14:paraId="7092DC2F" w14:textId="32606E8A" w:rsidR="009B361B" w:rsidRPr="007C4551" w:rsidRDefault="009B361B" w:rsidP="000F79CA">
      <w:pPr>
        <w:spacing w:after="0" w:line="240" w:lineRule="auto"/>
        <w:ind w:left="540" w:hanging="540"/>
        <w:rPr>
          <w:rFonts w:cstheme="minorHAnsi"/>
          <w:sz w:val="24"/>
          <w:szCs w:val="24"/>
          <w:lang w:eastAsia="fr-FR"/>
        </w:rPr>
      </w:pPr>
      <w:r w:rsidRPr="007C4551">
        <w:rPr>
          <w:rFonts w:cstheme="minorHAnsi"/>
          <w:sz w:val="24"/>
          <w:szCs w:val="24"/>
        </w:rPr>
        <w:lastRenderedPageBreak/>
        <w:t xml:space="preserve">American Society of Civil Engineers (2021) </w:t>
      </w:r>
      <w:r w:rsidR="0071326D" w:rsidRPr="007C4551">
        <w:rPr>
          <w:rFonts w:cstheme="minorHAnsi"/>
          <w:i/>
          <w:sz w:val="24"/>
          <w:szCs w:val="24"/>
        </w:rPr>
        <w:t>2021</w:t>
      </w:r>
      <w:r w:rsidR="0071326D" w:rsidRPr="007C4551">
        <w:rPr>
          <w:rFonts w:cstheme="minorHAnsi"/>
          <w:sz w:val="24"/>
          <w:szCs w:val="24"/>
        </w:rPr>
        <w:t xml:space="preserve"> </w:t>
      </w:r>
      <w:r w:rsidR="0071326D" w:rsidRPr="007C4551">
        <w:rPr>
          <w:rFonts w:cstheme="minorHAnsi"/>
          <w:i/>
          <w:sz w:val="24"/>
          <w:szCs w:val="24"/>
        </w:rPr>
        <w:t>Insfrastructure Report Card</w:t>
      </w:r>
      <w:r w:rsidR="0071326D" w:rsidRPr="007C4551">
        <w:rPr>
          <w:rFonts w:cstheme="minorHAnsi"/>
          <w:sz w:val="24"/>
          <w:szCs w:val="24"/>
        </w:rPr>
        <w:t>. Reston, VA: American Society of Civil Engineers.</w:t>
      </w:r>
    </w:p>
    <w:p w14:paraId="0CC72E01" w14:textId="2F6FD6DE" w:rsidR="003F156D" w:rsidRPr="007C4551" w:rsidRDefault="003F156D" w:rsidP="000F79CA">
      <w:pPr>
        <w:spacing w:after="0" w:line="240" w:lineRule="auto"/>
        <w:ind w:left="540" w:hanging="540"/>
        <w:rPr>
          <w:rFonts w:cstheme="minorHAnsi"/>
          <w:sz w:val="24"/>
          <w:szCs w:val="24"/>
          <w:lang w:eastAsia="fr-FR"/>
        </w:rPr>
      </w:pPr>
      <w:r w:rsidRPr="007C4551">
        <w:rPr>
          <w:rFonts w:cstheme="minorHAnsi"/>
          <w:sz w:val="24"/>
          <w:szCs w:val="24"/>
          <w:lang w:eastAsia="fr-FR"/>
        </w:rPr>
        <w:t xml:space="preserve">Atesoglu, H.S. (2003) “Monetary transmission—federal funds rate and prime rate,” </w:t>
      </w:r>
      <w:r w:rsidRPr="007C4551">
        <w:rPr>
          <w:rFonts w:cstheme="minorHAnsi"/>
          <w:i/>
          <w:sz w:val="24"/>
          <w:szCs w:val="24"/>
          <w:lang w:eastAsia="fr-FR"/>
        </w:rPr>
        <w:t>Journal of Post Keynesian Economics</w:t>
      </w:r>
      <w:r w:rsidRPr="007C4551">
        <w:rPr>
          <w:rFonts w:cstheme="minorHAnsi"/>
          <w:sz w:val="24"/>
          <w:szCs w:val="24"/>
          <w:lang w:eastAsia="fr-FR"/>
        </w:rPr>
        <w:t>, 26 (2): 357-362.</w:t>
      </w:r>
    </w:p>
    <w:p w14:paraId="503C86C6" w14:textId="610097C2" w:rsidR="003F156D" w:rsidRPr="007C4551" w:rsidRDefault="00B92345" w:rsidP="000F79CA">
      <w:pPr>
        <w:spacing w:after="0" w:line="240" w:lineRule="auto"/>
        <w:ind w:left="540" w:hanging="540"/>
        <w:rPr>
          <w:rFonts w:cstheme="minorHAnsi"/>
          <w:sz w:val="24"/>
          <w:szCs w:val="24"/>
          <w:lang w:eastAsia="fr-FR"/>
        </w:rPr>
      </w:pPr>
      <w:r w:rsidRPr="007C4551">
        <w:rPr>
          <w:rFonts w:cstheme="minorHAnsi"/>
          <w:sz w:val="24"/>
          <w:szCs w:val="24"/>
          <w:lang w:eastAsia="fr-FR"/>
        </w:rPr>
        <w:t xml:space="preserve">Atesoglu, H.S. </w:t>
      </w:r>
      <w:r w:rsidR="003F156D" w:rsidRPr="007C4551">
        <w:rPr>
          <w:rFonts w:cstheme="minorHAnsi"/>
          <w:sz w:val="24"/>
          <w:szCs w:val="24"/>
          <w:lang w:eastAsia="fr-FR"/>
        </w:rPr>
        <w:t xml:space="preserve">2005) “Monetary policy and long-term interest rates,” </w:t>
      </w:r>
      <w:r w:rsidR="003F156D" w:rsidRPr="007C4551">
        <w:rPr>
          <w:rFonts w:cstheme="minorHAnsi"/>
          <w:i/>
          <w:sz w:val="24"/>
          <w:szCs w:val="24"/>
          <w:lang w:eastAsia="fr-FR"/>
        </w:rPr>
        <w:t>Journal of Post Keynesian Economics</w:t>
      </w:r>
      <w:r w:rsidR="003F156D" w:rsidRPr="007C4551">
        <w:rPr>
          <w:rFonts w:cstheme="minorHAnsi"/>
          <w:sz w:val="24"/>
          <w:szCs w:val="24"/>
          <w:lang w:eastAsia="fr-FR"/>
        </w:rPr>
        <w:t>, 27 (3): 533-539.</w:t>
      </w:r>
    </w:p>
    <w:p w14:paraId="3B9BE4A5" w14:textId="3101F691" w:rsidR="00547600" w:rsidRPr="007C4551" w:rsidRDefault="00547600" w:rsidP="000F79CA">
      <w:pPr>
        <w:spacing w:after="0" w:line="240" w:lineRule="auto"/>
        <w:ind w:left="540" w:hanging="540"/>
        <w:rPr>
          <w:rFonts w:cstheme="minorHAnsi"/>
          <w:sz w:val="24"/>
          <w:szCs w:val="24"/>
        </w:rPr>
      </w:pPr>
      <w:r w:rsidRPr="007C4551">
        <w:rPr>
          <w:rFonts w:cstheme="minorHAnsi"/>
          <w:sz w:val="24"/>
          <w:szCs w:val="24"/>
        </w:rPr>
        <w:t xml:space="preserve">Batsher, A.K, Kuhn, K., Schularick, M. and Steins U.I. (2020) “Modigliani Meets Minsky: Inequality, Debt, and Financial Fragility in America, 1950-2016,” New York Federal Reserve Bank, </w:t>
      </w:r>
      <w:r w:rsidRPr="007C4551">
        <w:rPr>
          <w:rFonts w:cstheme="minorHAnsi"/>
          <w:i/>
          <w:sz w:val="24"/>
          <w:szCs w:val="24"/>
        </w:rPr>
        <w:t>Staff Report</w:t>
      </w:r>
      <w:r w:rsidRPr="007C4551">
        <w:rPr>
          <w:rFonts w:cstheme="minorHAnsi"/>
          <w:sz w:val="24"/>
          <w:szCs w:val="24"/>
        </w:rPr>
        <w:t xml:space="preserve"> No. 924.</w:t>
      </w:r>
    </w:p>
    <w:p w14:paraId="1AA74E34" w14:textId="75543C58" w:rsidR="00632363" w:rsidRPr="007C4551" w:rsidRDefault="00632363" w:rsidP="000F79CA">
      <w:pPr>
        <w:spacing w:after="0" w:line="240" w:lineRule="auto"/>
        <w:ind w:left="540" w:hanging="540"/>
        <w:rPr>
          <w:rFonts w:cstheme="minorHAnsi"/>
          <w:sz w:val="24"/>
          <w:szCs w:val="24"/>
        </w:rPr>
      </w:pPr>
      <w:r w:rsidRPr="007C4551">
        <w:rPr>
          <w:rFonts w:cstheme="minorHAnsi"/>
          <w:sz w:val="24"/>
          <w:szCs w:val="24"/>
        </w:rPr>
        <w:t xml:space="preserve">Beard, T.R. (1964) “Debt management: Its relationship to monetary policy, 1951-1962,” </w:t>
      </w:r>
      <w:r w:rsidRPr="007C4551">
        <w:rPr>
          <w:rFonts w:cstheme="minorHAnsi"/>
          <w:i/>
          <w:sz w:val="24"/>
          <w:szCs w:val="24"/>
        </w:rPr>
        <w:t>National Banking Review</w:t>
      </w:r>
      <w:r w:rsidRPr="007C4551">
        <w:rPr>
          <w:rFonts w:cstheme="minorHAnsi"/>
          <w:sz w:val="24"/>
          <w:szCs w:val="24"/>
        </w:rPr>
        <w:t xml:space="preserve">, 2 (September): 61-76; reprinted in H.A. Wolf and R.C. Doenges (eds) (1968) </w:t>
      </w:r>
      <w:r w:rsidRPr="007C4551">
        <w:rPr>
          <w:rFonts w:cstheme="minorHAnsi"/>
          <w:i/>
          <w:sz w:val="24"/>
          <w:szCs w:val="24"/>
        </w:rPr>
        <w:t>Readings in Money and Banking</w:t>
      </w:r>
      <w:r w:rsidRPr="007C4551">
        <w:rPr>
          <w:rFonts w:cstheme="minorHAnsi"/>
          <w:sz w:val="24"/>
          <w:szCs w:val="24"/>
        </w:rPr>
        <w:t>, 367-384, New York: Appleton-Century-Croft.</w:t>
      </w:r>
    </w:p>
    <w:p w14:paraId="4015CEEF" w14:textId="77777777" w:rsidR="003F156D" w:rsidRPr="007C4551" w:rsidRDefault="003F156D" w:rsidP="003046D7">
      <w:pPr>
        <w:spacing w:after="0" w:line="240" w:lineRule="auto"/>
        <w:ind w:left="540" w:hanging="540"/>
        <w:rPr>
          <w:rFonts w:cstheme="minorHAnsi"/>
          <w:sz w:val="24"/>
          <w:szCs w:val="24"/>
        </w:rPr>
      </w:pPr>
      <w:r w:rsidRPr="007C4551">
        <w:rPr>
          <w:rFonts w:cstheme="minorHAnsi"/>
          <w:sz w:val="24"/>
          <w:szCs w:val="24"/>
        </w:rPr>
        <w:t xml:space="preserve">Biefang-Frisancho Mariscal, I. and Howells, P. (2002) “Central banks and market interest rates,” </w:t>
      </w:r>
      <w:r w:rsidRPr="007C4551">
        <w:rPr>
          <w:rFonts w:cstheme="minorHAnsi"/>
          <w:i/>
          <w:sz w:val="24"/>
          <w:szCs w:val="24"/>
        </w:rPr>
        <w:t>Journal of Post Keynesian Economics</w:t>
      </w:r>
      <w:r w:rsidRPr="007C4551">
        <w:rPr>
          <w:rFonts w:cstheme="minorHAnsi"/>
          <w:sz w:val="24"/>
          <w:szCs w:val="24"/>
        </w:rPr>
        <w:t>, 24 (4): 569-585.</w:t>
      </w:r>
    </w:p>
    <w:p w14:paraId="6DA0358E" w14:textId="6942D96F" w:rsidR="00B70C87" w:rsidRPr="007C4551" w:rsidRDefault="00B70C87" w:rsidP="003046D7">
      <w:pPr>
        <w:autoSpaceDE w:val="0"/>
        <w:autoSpaceDN w:val="0"/>
        <w:adjustRightInd w:val="0"/>
        <w:spacing w:after="0" w:line="240" w:lineRule="auto"/>
        <w:ind w:left="540" w:hanging="540"/>
        <w:rPr>
          <w:rFonts w:cstheme="minorHAnsi"/>
          <w:sz w:val="24"/>
          <w:szCs w:val="24"/>
        </w:rPr>
      </w:pPr>
      <w:r w:rsidRPr="007C4551">
        <w:rPr>
          <w:rFonts w:eastAsia="Times New Roman" w:cstheme="minorHAnsi"/>
          <w:sz w:val="24"/>
          <w:szCs w:val="24"/>
        </w:rPr>
        <w:t xml:space="preserve">Borio, C, Disyatat, P., Juselius, M.I., and Rungcharoenkitkul , P. (2017) “Why so low for so long? A long-term view of real interest rates” BIS Working Paper, No. 685. Available at </w:t>
      </w:r>
      <w:hyperlink r:id="rId10" w:history="1">
        <w:r w:rsidRPr="007C4551">
          <w:rPr>
            <w:rStyle w:val="Hyperlink"/>
            <w:rFonts w:eastAsia="Times New Roman" w:cstheme="minorHAnsi"/>
            <w:color w:val="auto"/>
            <w:sz w:val="24"/>
            <w:szCs w:val="24"/>
          </w:rPr>
          <w:t>https://www.bis.org/publ/work685.pdf</w:t>
        </w:r>
      </w:hyperlink>
      <w:r w:rsidRPr="007C4551">
        <w:rPr>
          <w:rFonts w:eastAsia="Times New Roman" w:cstheme="minorHAnsi"/>
          <w:sz w:val="24"/>
          <w:szCs w:val="24"/>
        </w:rPr>
        <w:t xml:space="preserve"> </w:t>
      </w:r>
    </w:p>
    <w:p w14:paraId="28DBCEAD" w14:textId="1113D618" w:rsidR="003046D7" w:rsidRPr="007C4551" w:rsidRDefault="003046D7" w:rsidP="003046D7">
      <w:pPr>
        <w:spacing w:after="0" w:line="240" w:lineRule="auto"/>
        <w:ind w:left="540" w:hanging="540"/>
        <w:rPr>
          <w:rFonts w:eastAsia="Times New Roman" w:cstheme="minorHAnsi"/>
          <w:sz w:val="24"/>
          <w:szCs w:val="24"/>
        </w:rPr>
      </w:pPr>
      <w:r w:rsidRPr="007C4551">
        <w:rPr>
          <w:rFonts w:eastAsia="Times New Roman" w:cstheme="minorHAnsi"/>
          <w:sz w:val="24"/>
          <w:szCs w:val="24"/>
        </w:rPr>
        <w:t xml:space="preserve">Cantor, R., Emery, K., Duggar, E. and Cailleteau, P. 2008. “Sovereign Default and Recovery Rates, 1983-2007.” </w:t>
      </w:r>
      <w:r w:rsidRPr="007C4551">
        <w:rPr>
          <w:rFonts w:eastAsia="Times New Roman" w:cstheme="minorHAnsi"/>
          <w:i/>
          <w:sz w:val="24"/>
          <w:szCs w:val="24"/>
        </w:rPr>
        <w:t>Moody’s Global Credit Research</w:t>
      </w:r>
      <w:r w:rsidRPr="007C4551">
        <w:rPr>
          <w:rFonts w:eastAsia="Times New Roman" w:cstheme="minorHAnsi"/>
          <w:sz w:val="24"/>
          <w:szCs w:val="24"/>
        </w:rPr>
        <w:t xml:space="preserve">, March. </w:t>
      </w:r>
    </w:p>
    <w:p w14:paraId="62CB4638" w14:textId="58CE85A8" w:rsidR="004540C9" w:rsidRPr="007C4551" w:rsidRDefault="004540C9" w:rsidP="003046D7">
      <w:pPr>
        <w:autoSpaceDE w:val="0"/>
        <w:autoSpaceDN w:val="0"/>
        <w:adjustRightInd w:val="0"/>
        <w:spacing w:after="0" w:line="240" w:lineRule="auto"/>
        <w:ind w:left="540" w:hanging="540"/>
        <w:rPr>
          <w:rFonts w:cstheme="minorHAnsi"/>
          <w:sz w:val="24"/>
          <w:szCs w:val="24"/>
        </w:rPr>
      </w:pPr>
      <w:r w:rsidRPr="007C4551">
        <w:rPr>
          <w:rFonts w:cstheme="minorHAnsi"/>
          <w:sz w:val="24"/>
          <w:szCs w:val="24"/>
        </w:rPr>
        <w:t xml:space="preserve">Cantor, R. and Parker, F. (1995) “Sovereign Credit Ratings,” Federal Reserve Bank of New York </w:t>
      </w:r>
      <w:r w:rsidRPr="007C4551">
        <w:rPr>
          <w:rFonts w:cstheme="minorHAnsi"/>
          <w:i/>
          <w:iCs/>
          <w:sz w:val="24"/>
          <w:szCs w:val="24"/>
        </w:rPr>
        <w:t>Current Issues in Economics and Finance</w:t>
      </w:r>
      <w:r w:rsidRPr="007C4551">
        <w:rPr>
          <w:rFonts w:cstheme="minorHAnsi"/>
          <w:sz w:val="24"/>
          <w:szCs w:val="24"/>
        </w:rPr>
        <w:t>, 1 (3): 1-6.</w:t>
      </w:r>
    </w:p>
    <w:p w14:paraId="1BB07673" w14:textId="77777777" w:rsidR="003F156D" w:rsidRPr="007C4551" w:rsidRDefault="003F156D" w:rsidP="003046D7">
      <w:pPr>
        <w:spacing w:after="0" w:line="240" w:lineRule="auto"/>
        <w:ind w:left="540" w:hanging="540"/>
        <w:rPr>
          <w:rFonts w:cstheme="minorHAnsi"/>
          <w:sz w:val="24"/>
          <w:szCs w:val="24"/>
        </w:rPr>
      </w:pPr>
      <w:r w:rsidRPr="007C4551">
        <w:rPr>
          <w:rFonts w:cstheme="minorHAnsi"/>
          <w:sz w:val="24"/>
          <w:szCs w:val="24"/>
        </w:rPr>
        <w:t xml:space="preserve">Cook, T. and Hahn, T. (1989) “The effect of changes in the federal funds rate target on market interest rates in the 1970s,” </w:t>
      </w:r>
      <w:r w:rsidRPr="007C4551">
        <w:rPr>
          <w:rFonts w:cstheme="minorHAnsi"/>
          <w:i/>
          <w:sz w:val="24"/>
          <w:szCs w:val="24"/>
        </w:rPr>
        <w:t>Journal of Monetary Economics</w:t>
      </w:r>
      <w:r w:rsidRPr="007C4551">
        <w:rPr>
          <w:rFonts w:cstheme="minorHAnsi"/>
          <w:sz w:val="24"/>
          <w:szCs w:val="24"/>
        </w:rPr>
        <w:t>, 24 (3): 331-351.</w:t>
      </w:r>
    </w:p>
    <w:p w14:paraId="63458510" w14:textId="77777777" w:rsidR="007F4764" w:rsidRPr="007C4551" w:rsidRDefault="007F4764" w:rsidP="00190376">
      <w:pPr>
        <w:spacing w:after="0" w:line="240" w:lineRule="auto"/>
        <w:ind w:left="540" w:hanging="540"/>
        <w:rPr>
          <w:rFonts w:cstheme="minorHAnsi"/>
          <w:sz w:val="24"/>
          <w:szCs w:val="24"/>
        </w:rPr>
      </w:pPr>
      <w:r w:rsidRPr="007C4551">
        <w:rPr>
          <w:rFonts w:cstheme="minorHAnsi"/>
          <w:sz w:val="24"/>
          <w:szCs w:val="24"/>
        </w:rPr>
        <w:t>Cooray, A. (2002) “The Fisher effect: A review of the literature,” Macquarie University-Sidney, Department of Economics, Research Paper No. 6/2002.</w:t>
      </w:r>
    </w:p>
    <w:p w14:paraId="08B82F95" w14:textId="395187D1" w:rsidR="00DD78C2" w:rsidRPr="007C4551" w:rsidRDefault="00DD78C2" w:rsidP="00190376">
      <w:pPr>
        <w:spacing w:after="0" w:line="240" w:lineRule="auto"/>
        <w:ind w:left="540" w:hanging="540"/>
        <w:rPr>
          <w:rFonts w:cstheme="minorHAnsi"/>
          <w:sz w:val="24"/>
          <w:szCs w:val="24"/>
        </w:rPr>
      </w:pPr>
      <w:r w:rsidRPr="007C4551">
        <w:rPr>
          <w:rFonts w:cstheme="minorHAnsi"/>
          <w:sz w:val="24"/>
          <w:szCs w:val="24"/>
        </w:rPr>
        <w:t xml:space="preserve">Domar, E. (1946) “Capital expansion, rate of growth, and unemployment,” </w:t>
      </w:r>
      <w:r w:rsidRPr="007C4551">
        <w:rPr>
          <w:rFonts w:cstheme="minorHAnsi"/>
          <w:i/>
          <w:sz w:val="24"/>
          <w:szCs w:val="24"/>
        </w:rPr>
        <w:t>Econometrica</w:t>
      </w:r>
      <w:r w:rsidRPr="007C4551">
        <w:rPr>
          <w:rFonts w:cstheme="minorHAnsi"/>
          <w:sz w:val="24"/>
          <w:szCs w:val="24"/>
        </w:rPr>
        <w:t>, 14 (2): 137-147.</w:t>
      </w:r>
    </w:p>
    <w:p w14:paraId="2CD238D8" w14:textId="65299EA6" w:rsidR="007F4764" w:rsidRPr="007C4551" w:rsidRDefault="007F4764" w:rsidP="00190376">
      <w:pPr>
        <w:spacing w:after="0" w:line="240" w:lineRule="auto"/>
        <w:ind w:left="540" w:hanging="540"/>
        <w:rPr>
          <w:rFonts w:cstheme="minorHAnsi"/>
          <w:sz w:val="24"/>
          <w:szCs w:val="24"/>
        </w:rPr>
      </w:pPr>
      <w:r w:rsidRPr="007C4551">
        <w:rPr>
          <w:rFonts w:cstheme="minorHAnsi"/>
          <w:sz w:val="24"/>
          <w:szCs w:val="24"/>
        </w:rPr>
        <w:t xml:space="preserve">Fisher, I. (1930) </w:t>
      </w:r>
      <w:r w:rsidRPr="007C4551">
        <w:rPr>
          <w:rFonts w:cstheme="minorHAnsi"/>
          <w:i/>
          <w:iCs/>
          <w:sz w:val="24"/>
          <w:szCs w:val="24"/>
        </w:rPr>
        <w:t>The Theory of Interest</w:t>
      </w:r>
      <w:r w:rsidRPr="007C4551">
        <w:rPr>
          <w:rFonts w:cstheme="minorHAnsi"/>
          <w:sz w:val="24"/>
          <w:szCs w:val="24"/>
        </w:rPr>
        <w:t>, New York: Macmillan.</w:t>
      </w:r>
    </w:p>
    <w:p w14:paraId="0BAA9C6A" w14:textId="2453C6C6" w:rsidR="00190376" w:rsidRPr="007C4551" w:rsidRDefault="00190376" w:rsidP="00190376">
      <w:pPr>
        <w:spacing w:after="0" w:line="240" w:lineRule="auto"/>
        <w:ind w:left="540" w:hanging="540"/>
        <w:rPr>
          <w:rFonts w:cstheme="minorHAnsi"/>
          <w:sz w:val="24"/>
          <w:szCs w:val="24"/>
        </w:rPr>
      </w:pPr>
      <w:r w:rsidRPr="007C4551">
        <w:rPr>
          <w:rFonts w:cstheme="minorHAnsi"/>
          <w:sz w:val="24"/>
          <w:szCs w:val="24"/>
        </w:rPr>
        <w:t xml:space="preserve">Fontana, G. and Palacio-Vera, A. (2007) “Are long-run price stability and short-run output stabilization all that monetary policy can aim for?,” </w:t>
      </w:r>
      <w:r w:rsidRPr="007C4551">
        <w:rPr>
          <w:rFonts w:cstheme="minorHAnsi"/>
          <w:i/>
          <w:sz w:val="24"/>
          <w:szCs w:val="24"/>
        </w:rPr>
        <w:t>Metroeconomica</w:t>
      </w:r>
      <w:r w:rsidRPr="007C4551">
        <w:rPr>
          <w:rFonts w:cstheme="minorHAnsi"/>
          <w:sz w:val="24"/>
          <w:szCs w:val="24"/>
        </w:rPr>
        <w:t>,</w:t>
      </w:r>
      <w:r w:rsidRPr="007C4551">
        <w:rPr>
          <w:rFonts w:cstheme="minorHAnsi"/>
          <w:i/>
          <w:sz w:val="24"/>
          <w:szCs w:val="24"/>
        </w:rPr>
        <w:t xml:space="preserve"> </w:t>
      </w:r>
      <w:r w:rsidRPr="007C4551">
        <w:rPr>
          <w:rFonts w:cstheme="minorHAnsi"/>
          <w:sz w:val="24"/>
          <w:szCs w:val="24"/>
        </w:rPr>
        <w:t xml:space="preserve">58 (2): 269-298. </w:t>
      </w:r>
    </w:p>
    <w:p w14:paraId="3F69BBFB" w14:textId="3EA37279" w:rsidR="00632363" w:rsidRPr="007C4551" w:rsidRDefault="00632363" w:rsidP="00190376">
      <w:pPr>
        <w:spacing w:after="0" w:line="240" w:lineRule="auto"/>
        <w:ind w:left="540" w:hanging="540"/>
        <w:rPr>
          <w:rFonts w:cstheme="minorHAnsi"/>
          <w:sz w:val="24"/>
          <w:szCs w:val="24"/>
        </w:rPr>
      </w:pPr>
      <w:r w:rsidRPr="007C4551">
        <w:rPr>
          <w:rFonts w:cstheme="minorHAnsi"/>
          <w:sz w:val="24"/>
          <w:szCs w:val="24"/>
        </w:rPr>
        <w:t xml:space="preserve">Friedman, M. and Schwartz, A.J. (1976) “From Gibson to Fisher,” </w:t>
      </w:r>
      <w:r w:rsidRPr="007C4551">
        <w:rPr>
          <w:rFonts w:cstheme="minorHAnsi"/>
          <w:i/>
          <w:sz w:val="24"/>
          <w:szCs w:val="24"/>
        </w:rPr>
        <w:t>Exploration in Economics</w:t>
      </w:r>
      <w:r w:rsidRPr="007C4551">
        <w:rPr>
          <w:rFonts w:cstheme="minorHAnsi"/>
          <w:sz w:val="24"/>
          <w:szCs w:val="24"/>
        </w:rPr>
        <w:t>, 3 (2): 288-291.</w:t>
      </w:r>
    </w:p>
    <w:p w14:paraId="69928EC9" w14:textId="6636206D" w:rsidR="00CA4103" w:rsidRPr="007C4551" w:rsidRDefault="00CA4103" w:rsidP="00190376">
      <w:pPr>
        <w:autoSpaceDE w:val="0"/>
        <w:autoSpaceDN w:val="0"/>
        <w:adjustRightInd w:val="0"/>
        <w:spacing w:after="0" w:line="240" w:lineRule="auto"/>
        <w:ind w:left="540" w:hanging="540"/>
        <w:rPr>
          <w:rFonts w:cstheme="minorHAnsi"/>
          <w:sz w:val="24"/>
          <w:szCs w:val="24"/>
        </w:rPr>
      </w:pPr>
      <w:r w:rsidRPr="007C4551">
        <w:rPr>
          <w:rFonts w:cstheme="minorHAnsi"/>
          <w:sz w:val="24"/>
          <w:szCs w:val="24"/>
        </w:rPr>
        <w:t xml:space="preserve">Fullwiler, S.T. (2020) “When the Interest Rate on the National Debt Is a Policy Variable (and ‘Printing Money’ Does Not Apply).” </w:t>
      </w:r>
      <w:r w:rsidRPr="007C4551">
        <w:rPr>
          <w:rFonts w:cstheme="minorHAnsi"/>
          <w:i/>
          <w:iCs/>
          <w:sz w:val="24"/>
          <w:szCs w:val="24"/>
        </w:rPr>
        <w:t>Public Budgeting and Finance</w:t>
      </w:r>
      <w:r w:rsidRPr="007C4551">
        <w:rPr>
          <w:rFonts w:cstheme="minorHAnsi"/>
          <w:sz w:val="24"/>
          <w:szCs w:val="24"/>
        </w:rPr>
        <w:t>, 40 (3): 72-94</w:t>
      </w:r>
    </w:p>
    <w:p w14:paraId="6E330F10" w14:textId="25347C55" w:rsidR="007F4764" w:rsidRPr="007C4551" w:rsidRDefault="007F4764" w:rsidP="00190376">
      <w:pPr>
        <w:spacing w:after="0" w:line="240" w:lineRule="auto"/>
        <w:ind w:left="540" w:hanging="540"/>
        <w:rPr>
          <w:rFonts w:cstheme="minorHAnsi"/>
          <w:sz w:val="24"/>
          <w:szCs w:val="24"/>
        </w:rPr>
      </w:pPr>
      <w:r w:rsidRPr="007C4551">
        <w:rPr>
          <w:rFonts w:cstheme="minorHAnsi"/>
          <w:sz w:val="24"/>
          <w:szCs w:val="24"/>
        </w:rPr>
        <w:t xml:space="preserve">Ghazali, N.A. and Ramlee, S. (2003) “A long memory test of the long-run fisher effect in the G7 countries,” </w:t>
      </w:r>
      <w:r w:rsidRPr="007C4551">
        <w:rPr>
          <w:rFonts w:cstheme="minorHAnsi"/>
          <w:i/>
          <w:iCs/>
          <w:sz w:val="24"/>
          <w:szCs w:val="24"/>
        </w:rPr>
        <w:t>Applied Financial Economics</w:t>
      </w:r>
      <w:r w:rsidRPr="007C4551">
        <w:rPr>
          <w:rFonts w:cstheme="minorHAnsi"/>
          <w:sz w:val="24"/>
          <w:szCs w:val="24"/>
        </w:rPr>
        <w:t>, 13 (10): 763-769.</w:t>
      </w:r>
    </w:p>
    <w:p w14:paraId="5E792E61" w14:textId="77777777" w:rsidR="00632363" w:rsidRPr="007C4551" w:rsidRDefault="00632363" w:rsidP="000F79CA">
      <w:pPr>
        <w:spacing w:after="0" w:line="240" w:lineRule="auto"/>
        <w:ind w:left="540" w:hanging="540"/>
        <w:rPr>
          <w:rFonts w:cstheme="minorHAnsi"/>
          <w:sz w:val="24"/>
          <w:szCs w:val="24"/>
        </w:rPr>
      </w:pPr>
      <w:r w:rsidRPr="007C4551">
        <w:rPr>
          <w:rFonts w:cstheme="minorHAnsi"/>
          <w:sz w:val="24"/>
          <w:szCs w:val="24"/>
        </w:rPr>
        <w:t xml:space="preserve">Haliassos, M. and Tobin, J. (1990) “The macroeconomics of government finance,” in B.M. Friedman and F.H. Hahn (eds) </w:t>
      </w:r>
      <w:r w:rsidRPr="007C4551">
        <w:rPr>
          <w:rFonts w:cstheme="minorHAnsi"/>
          <w:i/>
          <w:sz w:val="24"/>
          <w:szCs w:val="24"/>
        </w:rPr>
        <w:t>Handbook of Monetary Economics</w:t>
      </w:r>
      <w:r w:rsidRPr="007C4551">
        <w:rPr>
          <w:rFonts w:cstheme="minorHAnsi"/>
          <w:sz w:val="24"/>
          <w:szCs w:val="24"/>
        </w:rPr>
        <w:t>, vol. 2, 889-959, Amsterdam: North-Holland.</w:t>
      </w:r>
    </w:p>
    <w:p w14:paraId="5425EA89" w14:textId="77777777" w:rsidR="00C047AC" w:rsidRPr="007C4551" w:rsidRDefault="00C047AC" w:rsidP="000F79CA">
      <w:pPr>
        <w:spacing w:after="0" w:line="240" w:lineRule="auto"/>
        <w:ind w:left="540" w:hanging="540"/>
        <w:rPr>
          <w:rFonts w:cstheme="minorHAnsi"/>
          <w:sz w:val="24"/>
          <w:szCs w:val="24"/>
        </w:rPr>
      </w:pPr>
      <w:r w:rsidRPr="007C4551">
        <w:rPr>
          <w:rFonts w:cstheme="minorHAnsi"/>
          <w:sz w:val="24"/>
          <w:szCs w:val="24"/>
        </w:rPr>
        <w:t xml:space="preserve">Hein, E. (2018) “Autonomous Government Expenditure Growth, Deficits, Debt, and Distribution in a Neo-kaleckian Growth Model.” </w:t>
      </w:r>
      <w:r w:rsidRPr="007C4551">
        <w:rPr>
          <w:rFonts w:cstheme="minorHAnsi"/>
          <w:i/>
          <w:sz w:val="24"/>
          <w:szCs w:val="24"/>
        </w:rPr>
        <w:t>Journal of Post Keynesian Economics</w:t>
      </w:r>
      <w:r w:rsidRPr="007C4551">
        <w:rPr>
          <w:rFonts w:cstheme="minorHAnsi"/>
          <w:sz w:val="24"/>
          <w:szCs w:val="24"/>
        </w:rPr>
        <w:t>, 41 (2): 316-338.</w:t>
      </w:r>
    </w:p>
    <w:p w14:paraId="09F11979" w14:textId="70D5A72D" w:rsidR="00F442CD" w:rsidRPr="007C4551" w:rsidRDefault="009D34F4" w:rsidP="000F79CA">
      <w:pPr>
        <w:autoSpaceDE w:val="0"/>
        <w:autoSpaceDN w:val="0"/>
        <w:adjustRightInd w:val="0"/>
        <w:spacing w:after="0" w:line="240" w:lineRule="auto"/>
        <w:ind w:left="540" w:hanging="540"/>
        <w:rPr>
          <w:rFonts w:cstheme="minorHAnsi"/>
          <w:sz w:val="24"/>
          <w:szCs w:val="24"/>
          <w:lang w:eastAsia="zh-CN"/>
        </w:rPr>
      </w:pPr>
      <w:r w:rsidRPr="007C4551">
        <w:rPr>
          <w:rFonts w:cstheme="minorHAnsi"/>
          <w:sz w:val="24"/>
          <w:szCs w:val="24"/>
          <w:lang w:eastAsia="zh-CN"/>
        </w:rPr>
        <w:t>International Energ</w:t>
      </w:r>
      <w:r w:rsidR="00F442CD" w:rsidRPr="007C4551">
        <w:rPr>
          <w:rFonts w:cstheme="minorHAnsi"/>
          <w:sz w:val="24"/>
          <w:szCs w:val="24"/>
          <w:lang w:eastAsia="zh-CN"/>
        </w:rPr>
        <w:t xml:space="preserve">y Agency (2021) </w:t>
      </w:r>
      <w:r w:rsidR="00F442CD" w:rsidRPr="007C4551">
        <w:rPr>
          <w:rFonts w:cstheme="minorHAnsi"/>
          <w:i/>
          <w:sz w:val="24"/>
          <w:szCs w:val="24"/>
        </w:rPr>
        <w:t>Net Zero by 2050: A Roadmap for the</w:t>
      </w:r>
      <w:r w:rsidRPr="007C4551">
        <w:rPr>
          <w:rFonts w:cstheme="minorHAnsi"/>
          <w:i/>
          <w:sz w:val="24"/>
          <w:szCs w:val="24"/>
        </w:rPr>
        <w:t xml:space="preserve"> </w:t>
      </w:r>
      <w:r w:rsidR="00F442CD" w:rsidRPr="007C4551">
        <w:rPr>
          <w:rFonts w:cstheme="minorHAnsi"/>
          <w:i/>
          <w:sz w:val="24"/>
          <w:szCs w:val="24"/>
        </w:rPr>
        <w:t>Global Energy Sector</w:t>
      </w:r>
      <w:r w:rsidR="00F442CD" w:rsidRPr="007C4551">
        <w:rPr>
          <w:rFonts w:cstheme="minorHAnsi"/>
          <w:sz w:val="24"/>
          <w:szCs w:val="24"/>
        </w:rPr>
        <w:t>.</w:t>
      </w:r>
      <w:r w:rsidRPr="007C4551">
        <w:rPr>
          <w:rFonts w:cstheme="minorHAnsi"/>
          <w:sz w:val="24"/>
          <w:szCs w:val="24"/>
        </w:rPr>
        <w:t xml:space="preserve"> Paris: International Energy Agency</w:t>
      </w:r>
    </w:p>
    <w:p w14:paraId="3D6842FA" w14:textId="64180E7F" w:rsidR="00632363" w:rsidRPr="007C4551" w:rsidRDefault="00632363" w:rsidP="000F79CA">
      <w:pPr>
        <w:spacing w:after="0" w:line="240" w:lineRule="auto"/>
        <w:ind w:left="540" w:hanging="540"/>
        <w:rPr>
          <w:rFonts w:cstheme="minorHAnsi"/>
          <w:sz w:val="24"/>
          <w:szCs w:val="24"/>
          <w:lang w:eastAsia="zh-CN"/>
        </w:rPr>
      </w:pPr>
      <w:r w:rsidRPr="007C4551">
        <w:rPr>
          <w:rFonts w:cstheme="minorHAnsi"/>
          <w:sz w:val="24"/>
          <w:szCs w:val="24"/>
          <w:lang w:eastAsia="zh-CN"/>
        </w:rPr>
        <w:lastRenderedPageBreak/>
        <w:t xml:space="preserve">Koustas, Z. and Serletis, A. (1999) “On the Fisher effect,” </w:t>
      </w:r>
      <w:r w:rsidRPr="007C4551">
        <w:rPr>
          <w:rFonts w:cstheme="minorHAnsi"/>
          <w:i/>
          <w:sz w:val="24"/>
          <w:szCs w:val="24"/>
          <w:lang w:eastAsia="zh-CN"/>
        </w:rPr>
        <w:t>Journal of Monetary Economics</w:t>
      </w:r>
      <w:r w:rsidRPr="007C4551">
        <w:rPr>
          <w:rFonts w:cstheme="minorHAnsi"/>
          <w:sz w:val="24"/>
          <w:szCs w:val="24"/>
          <w:lang w:eastAsia="zh-CN"/>
        </w:rPr>
        <w:t>, 44 (1): 105-130.</w:t>
      </w:r>
    </w:p>
    <w:p w14:paraId="14028213" w14:textId="0D2D5D1E" w:rsidR="001B7973" w:rsidRPr="007C4551" w:rsidRDefault="001B7973" w:rsidP="000F79CA">
      <w:pPr>
        <w:spacing w:after="0" w:line="240" w:lineRule="auto"/>
        <w:ind w:left="540" w:hanging="540"/>
        <w:rPr>
          <w:rFonts w:cstheme="minorHAnsi"/>
          <w:sz w:val="24"/>
          <w:szCs w:val="24"/>
          <w:lang w:eastAsia="fr-FR"/>
        </w:rPr>
      </w:pPr>
      <w:r w:rsidRPr="007C4551">
        <w:rPr>
          <w:rFonts w:cstheme="minorHAnsi"/>
          <w:sz w:val="24"/>
          <w:szCs w:val="24"/>
          <w:lang w:eastAsia="fr-FR"/>
        </w:rPr>
        <w:t xml:space="preserve">Lavoie, M. (2014) </w:t>
      </w:r>
      <w:r w:rsidRPr="007C4551">
        <w:rPr>
          <w:rFonts w:cstheme="minorHAnsi"/>
          <w:i/>
          <w:sz w:val="24"/>
          <w:szCs w:val="24"/>
          <w:lang w:eastAsia="fr-FR"/>
        </w:rPr>
        <w:t>Post Keynesian Economics: New Foundations</w:t>
      </w:r>
      <w:r w:rsidRPr="007C4551">
        <w:rPr>
          <w:rFonts w:cstheme="minorHAnsi"/>
          <w:sz w:val="24"/>
          <w:szCs w:val="24"/>
          <w:lang w:eastAsia="fr-FR"/>
        </w:rPr>
        <w:t xml:space="preserve">. Northampton: Edward Elgar. </w:t>
      </w:r>
    </w:p>
    <w:p w14:paraId="4BDBF2AB" w14:textId="7CEA594F" w:rsidR="009D34F4" w:rsidRPr="007C4551" w:rsidRDefault="009D34F4" w:rsidP="00E97E3D">
      <w:pPr>
        <w:spacing w:after="0" w:line="240" w:lineRule="auto"/>
        <w:ind w:left="540" w:hanging="540"/>
        <w:rPr>
          <w:rFonts w:cstheme="minorHAnsi"/>
          <w:sz w:val="24"/>
          <w:szCs w:val="24"/>
          <w:lang w:eastAsia="fr-FR"/>
        </w:rPr>
      </w:pPr>
      <w:r w:rsidRPr="007C4551">
        <w:rPr>
          <w:rFonts w:cstheme="minorHAnsi"/>
          <w:sz w:val="24"/>
          <w:szCs w:val="24"/>
          <w:lang w:eastAsia="fr-FR"/>
        </w:rPr>
        <w:t xml:space="preserve">Mazzucato, M. (2015) </w:t>
      </w:r>
      <w:r w:rsidRPr="007C4551">
        <w:rPr>
          <w:rFonts w:cstheme="minorHAnsi"/>
          <w:i/>
          <w:sz w:val="24"/>
          <w:szCs w:val="24"/>
          <w:lang w:eastAsia="fr-FR"/>
        </w:rPr>
        <w:t>The Entrepreneurial State: Debunking Public vs. Private Sector Myths</w:t>
      </w:r>
      <w:r w:rsidRPr="007C4551">
        <w:rPr>
          <w:rFonts w:cstheme="minorHAnsi"/>
          <w:sz w:val="24"/>
          <w:szCs w:val="24"/>
          <w:lang w:eastAsia="fr-FR"/>
        </w:rPr>
        <w:t>. New York: PublicAffairs.</w:t>
      </w:r>
    </w:p>
    <w:p w14:paraId="7FD3D80F" w14:textId="77777777" w:rsidR="00E97E3D" w:rsidRPr="007C4551" w:rsidRDefault="00E97E3D" w:rsidP="00E97E3D">
      <w:pPr>
        <w:spacing w:after="0" w:line="240" w:lineRule="auto"/>
        <w:ind w:left="540" w:hanging="540"/>
        <w:rPr>
          <w:rFonts w:cstheme="minorHAnsi"/>
          <w:sz w:val="24"/>
          <w:szCs w:val="24"/>
        </w:rPr>
      </w:pPr>
      <w:r w:rsidRPr="007C4551">
        <w:rPr>
          <w:rFonts w:cstheme="minorHAnsi"/>
          <w:sz w:val="24"/>
          <w:szCs w:val="24"/>
        </w:rPr>
        <w:t xml:space="preserve">Meulendyke, A.-M. (1998) </w:t>
      </w:r>
      <w:r w:rsidRPr="007C4551">
        <w:rPr>
          <w:rFonts w:cstheme="minorHAnsi"/>
          <w:i/>
          <w:sz w:val="24"/>
          <w:szCs w:val="24"/>
        </w:rPr>
        <w:t>U.S. Monetary Policy and Financial Markets</w:t>
      </w:r>
      <w:r w:rsidRPr="007C4551">
        <w:rPr>
          <w:rFonts w:cstheme="minorHAnsi"/>
          <w:sz w:val="24"/>
          <w:szCs w:val="24"/>
        </w:rPr>
        <w:t>, New York: Federal Reserve Bank of New York.</w:t>
      </w:r>
    </w:p>
    <w:p w14:paraId="4379D4CA" w14:textId="2D69B89C" w:rsidR="00F54DF9" w:rsidRPr="007C4551" w:rsidRDefault="00F54DF9" w:rsidP="00E97E3D">
      <w:pPr>
        <w:spacing w:after="0" w:line="240" w:lineRule="auto"/>
        <w:ind w:left="540" w:hanging="540"/>
        <w:rPr>
          <w:rFonts w:cstheme="minorHAnsi"/>
          <w:sz w:val="24"/>
          <w:szCs w:val="24"/>
          <w:lang w:eastAsia="fr-FR"/>
        </w:rPr>
      </w:pPr>
      <w:r w:rsidRPr="007C4551">
        <w:rPr>
          <w:rFonts w:cstheme="minorHAnsi"/>
          <w:sz w:val="24"/>
          <w:szCs w:val="24"/>
          <w:lang w:eastAsia="fr-FR"/>
        </w:rPr>
        <w:t xml:space="preserve">Minsky, H.P. </w:t>
      </w:r>
      <w:r w:rsidRPr="007C4551">
        <w:rPr>
          <w:rFonts w:cstheme="minorHAnsi"/>
          <w:sz w:val="24"/>
          <w:szCs w:val="24"/>
        </w:rPr>
        <w:t xml:space="preserve">(1973) “The strategy of economic policy and income distribution,” in S. Weintraub (special ed.) </w:t>
      </w:r>
      <w:r w:rsidRPr="007C4551">
        <w:rPr>
          <w:rFonts w:cstheme="minorHAnsi"/>
          <w:i/>
          <w:sz w:val="24"/>
          <w:szCs w:val="24"/>
        </w:rPr>
        <w:t>The Annals: Income Inequality</w:t>
      </w:r>
      <w:r w:rsidRPr="007C4551">
        <w:rPr>
          <w:rFonts w:cstheme="minorHAnsi"/>
          <w:sz w:val="24"/>
          <w:szCs w:val="24"/>
        </w:rPr>
        <w:t>, 92-101, Philadelphia: American Academy of Political and Social Science</w:t>
      </w:r>
    </w:p>
    <w:p w14:paraId="292DB510" w14:textId="3CB1416D" w:rsidR="00F54DF9" w:rsidRPr="007C4551" w:rsidRDefault="00B92345" w:rsidP="00E97E3D">
      <w:pPr>
        <w:spacing w:after="0" w:line="240" w:lineRule="auto"/>
        <w:ind w:left="540" w:hanging="540"/>
        <w:rPr>
          <w:rFonts w:cstheme="minorHAnsi"/>
          <w:sz w:val="24"/>
          <w:szCs w:val="24"/>
        </w:rPr>
      </w:pPr>
      <w:r w:rsidRPr="007C4551">
        <w:rPr>
          <w:rFonts w:cstheme="minorHAnsi"/>
          <w:sz w:val="24"/>
          <w:szCs w:val="24"/>
          <w:lang w:eastAsia="fr-FR"/>
        </w:rPr>
        <w:t>Minsky, H.P.</w:t>
      </w:r>
      <w:r w:rsidR="00F54DF9" w:rsidRPr="007C4551">
        <w:rPr>
          <w:rFonts w:cstheme="minorHAnsi"/>
          <w:sz w:val="24"/>
          <w:szCs w:val="24"/>
        </w:rPr>
        <w:t xml:space="preserve"> (1981) “The breakdown of the 1960s policy synthesis,” </w:t>
      </w:r>
      <w:r w:rsidR="00F54DF9" w:rsidRPr="007C4551">
        <w:rPr>
          <w:rFonts w:cstheme="minorHAnsi"/>
          <w:i/>
          <w:sz w:val="24"/>
          <w:szCs w:val="24"/>
        </w:rPr>
        <w:t>Telos</w:t>
      </w:r>
      <w:r w:rsidR="00F54DF9" w:rsidRPr="007C4551">
        <w:rPr>
          <w:rFonts w:cstheme="minorHAnsi"/>
          <w:sz w:val="24"/>
          <w:szCs w:val="24"/>
        </w:rPr>
        <w:t>, 50 (Winter): 49-58.</w:t>
      </w:r>
    </w:p>
    <w:p w14:paraId="3E6CEC49" w14:textId="65D1CCF8" w:rsidR="00F54DF9" w:rsidRPr="007C4551" w:rsidRDefault="00B92345" w:rsidP="000F79CA">
      <w:pPr>
        <w:spacing w:after="0" w:line="240" w:lineRule="auto"/>
        <w:ind w:left="540" w:hanging="540"/>
        <w:rPr>
          <w:rFonts w:cstheme="minorHAnsi"/>
          <w:sz w:val="24"/>
          <w:szCs w:val="24"/>
        </w:rPr>
      </w:pPr>
      <w:r w:rsidRPr="007C4551">
        <w:rPr>
          <w:rFonts w:cstheme="minorHAnsi"/>
          <w:sz w:val="24"/>
          <w:szCs w:val="24"/>
          <w:lang w:eastAsia="fr-FR"/>
        </w:rPr>
        <w:t>Minsky, H.P.</w:t>
      </w:r>
      <w:r w:rsidR="00F54DF9" w:rsidRPr="007C4551">
        <w:rPr>
          <w:rFonts w:cstheme="minorHAnsi"/>
          <w:sz w:val="24"/>
          <w:szCs w:val="24"/>
        </w:rPr>
        <w:t xml:space="preserve"> (1986) </w:t>
      </w:r>
      <w:r w:rsidR="00F54DF9" w:rsidRPr="007C4551">
        <w:rPr>
          <w:rFonts w:cstheme="minorHAnsi"/>
          <w:i/>
          <w:sz w:val="24"/>
          <w:szCs w:val="24"/>
        </w:rPr>
        <w:t>Stabilizing an Unstable Economy</w:t>
      </w:r>
      <w:r w:rsidR="00F54DF9" w:rsidRPr="007C4551">
        <w:rPr>
          <w:rFonts w:cstheme="minorHAnsi"/>
          <w:sz w:val="24"/>
          <w:szCs w:val="24"/>
        </w:rPr>
        <w:t>, New Heaven: Yale University Press.</w:t>
      </w:r>
    </w:p>
    <w:p w14:paraId="4CB33284" w14:textId="5678729D" w:rsidR="00F54DF9" w:rsidRPr="007C4551" w:rsidRDefault="00B92345" w:rsidP="000F79CA">
      <w:pPr>
        <w:spacing w:after="0" w:line="240" w:lineRule="auto"/>
        <w:ind w:left="540" w:hanging="540"/>
        <w:rPr>
          <w:rFonts w:cstheme="minorHAnsi"/>
          <w:sz w:val="24"/>
          <w:szCs w:val="24"/>
          <w:lang w:eastAsia="fr-FR"/>
        </w:rPr>
      </w:pPr>
      <w:r w:rsidRPr="007C4551">
        <w:rPr>
          <w:rFonts w:cstheme="minorHAnsi"/>
          <w:sz w:val="24"/>
          <w:szCs w:val="24"/>
          <w:lang w:eastAsia="fr-FR"/>
        </w:rPr>
        <w:t>Minsky, H.P.</w:t>
      </w:r>
      <w:r w:rsidR="00F54DF9" w:rsidRPr="007C4551">
        <w:rPr>
          <w:rFonts w:cstheme="minorHAnsi"/>
          <w:sz w:val="24"/>
          <w:szCs w:val="24"/>
        </w:rPr>
        <w:t xml:space="preserve"> (1993) “On the non-neutrality of money,” </w:t>
      </w:r>
      <w:r w:rsidR="00F54DF9" w:rsidRPr="007C4551">
        <w:rPr>
          <w:rFonts w:cstheme="minorHAnsi"/>
          <w:iCs/>
          <w:sz w:val="24"/>
          <w:szCs w:val="24"/>
        </w:rPr>
        <w:t>Federal Reserve Bank of New York</w:t>
      </w:r>
      <w:r w:rsidR="00F54DF9" w:rsidRPr="007C4551">
        <w:rPr>
          <w:rFonts w:cstheme="minorHAnsi"/>
          <w:i/>
          <w:iCs/>
          <w:sz w:val="24"/>
          <w:szCs w:val="24"/>
        </w:rPr>
        <w:t xml:space="preserve"> Quarterly Review</w:t>
      </w:r>
      <w:r w:rsidR="00F54DF9" w:rsidRPr="007C4551">
        <w:rPr>
          <w:rFonts w:cstheme="minorHAnsi"/>
          <w:sz w:val="24"/>
          <w:szCs w:val="24"/>
        </w:rPr>
        <w:t>, 18 (1): 77-82.</w:t>
      </w:r>
    </w:p>
    <w:p w14:paraId="75FE1E11" w14:textId="3C7E19DE" w:rsidR="003F156D" w:rsidRPr="007C4551" w:rsidRDefault="003F156D" w:rsidP="000F79CA">
      <w:pPr>
        <w:spacing w:after="0" w:line="240" w:lineRule="auto"/>
        <w:ind w:left="540" w:hanging="540"/>
        <w:rPr>
          <w:rFonts w:cstheme="minorHAnsi"/>
          <w:sz w:val="24"/>
          <w:szCs w:val="24"/>
          <w:lang w:eastAsia="fr-FR"/>
        </w:rPr>
      </w:pPr>
      <w:r w:rsidRPr="007C4551">
        <w:rPr>
          <w:rFonts w:cstheme="minorHAnsi"/>
          <w:sz w:val="24"/>
          <w:szCs w:val="24"/>
          <w:lang w:eastAsia="fr-FR"/>
        </w:rPr>
        <w:t xml:space="preserve">Roley, V.V. and Sellon, G.H., Jr. (1995) “Monetary policy actions and long-term interest rates,” Federal Reserve Bank of Kansas City </w:t>
      </w:r>
      <w:r w:rsidRPr="007C4551">
        <w:rPr>
          <w:rFonts w:cstheme="minorHAnsi"/>
          <w:i/>
          <w:sz w:val="24"/>
          <w:szCs w:val="24"/>
          <w:lang w:eastAsia="fr-FR"/>
        </w:rPr>
        <w:t>Economic Review</w:t>
      </w:r>
      <w:r w:rsidRPr="007C4551">
        <w:rPr>
          <w:rFonts w:cstheme="minorHAnsi"/>
          <w:sz w:val="24"/>
          <w:szCs w:val="24"/>
          <w:lang w:eastAsia="fr-FR"/>
        </w:rPr>
        <w:t>, 4</w:t>
      </w:r>
      <w:r w:rsidRPr="007C4551">
        <w:rPr>
          <w:rFonts w:cstheme="minorHAnsi"/>
          <w:sz w:val="24"/>
          <w:szCs w:val="24"/>
          <w:vertAlign w:val="superscript"/>
          <w:lang w:eastAsia="fr-FR"/>
        </w:rPr>
        <w:t>th</w:t>
      </w:r>
      <w:r w:rsidRPr="007C4551">
        <w:rPr>
          <w:rFonts w:cstheme="minorHAnsi"/>
          <w:sz w:val="24"/>
          <w:szCs w:val="24"/>
          <w:lang w:eastAsia="fr-FR"/>
        </w:rPr>
        <w:t xml:space="preserve"> quarter: 73-89.</w:t>
      </w:r>
    </w:p>
    <w:p w14:paraId="387C10D6" w14:textId="2698F6C0" w:rsidR="00632363" w:rsidRPr="007C4551" w:rsidRDefault="00632363" w:rsidP="000F79CA">
      <w:pPr>
        <w:spacing w:after="0" w:line="240" w:lineRule="auto"/>
        <w:ind w:left="540" w:hanging="540"/>
        <w:rPr>
          <w:rFonts w:cstheme="minorHAnsi"/>
          <w:sz w:val="24"/>
          <w:szCs w:val="24"/>
        </w:rPr>
      </w:pPr>
      <w:r w:rsidRPr="007C4551">
        <w:rPr>
          <w:rFonts w:cstheme="minorHAnsi"/>
          <w:sz w:val="24"/>
          <w:szCs w:val="24"/>
        </w:rPr>
        <w:t xml:space="preserve">Sargent, T.J. (1976) “Interest rate and expected inflation: A selective summary of recent research,” </w:t>
      </w:r>
      <w:r w:rsidRPr="007C4551">
        <w:rPr>
          <w:rFonts w:cstheme="minorHAnsi"/>
          <w:i/>
          <w:sz w:val="24"/>
          <w:szCs w:val="24"/>
        </w:rPr>
        <w:t>Explorations in Economic Research</w:t>
      </w:r>
      <w:r w:rsidRPr="007C4551">
        <w:rPr>
          <w:rFonts w:cstheme="minorHAnsi"/>
          <w:sz w:val="24"/>
          <w:szCs w:val="24"/>
        </w:rPr>
        <w:t>, 3 (3): 303-325.</w:t>
      </w:r>
    </w:p>
    <w:p w14:paraId="09D5269E" w14:textId="627A7B0A" w:rsidR="00997362" w:rsidRPr="007C4551" w:rsidRDefault="00997362" w:rsidP="000F79CA">
      <w:pPr>
        <w:spacing w:after="0" w:line="240" w:lineRule="auto"/>
        <w:ind w:left="540" w:hanging="540"/>
        <w:rPr>
          <w:rFonts w:cstheme="minorHAnsi"/>
          <w:sz w:val="24"/>
          <w:szCs w:val="24"/>
        </w:rPr>
      </w:pPr>
      <w:r w:rsidRPr="007C4551">
        <w:rPr>
          <w:rFonts w:cstheme="minorHAnsi"/>
          <w:sz w:val="24"/>
          <w:szCs w:val="24"/>
        </w:rPr>
        <w:t xml:space="preserve">Sharpe, T.P. (2013) “A Modern Money Perspective on Financial Crowding-out.” </w:t>
      </w:r>
      <w:r w:rsidRPr="007C4551">
        <w:rPr>
          <w:rFonts w:cstheme="minorHAnsi"/>
          <w:i/>
          <w:sz w:val="24"/>
          <w:szCs w:val="24"/>
        </w:rPr>
        <w:t>Review of Political Economy</w:t>
      </w:r>
      <w:r w:rsidRPr="007C4551">
        <w:rPr>
          <w:rFonts w:cstheme="minorHAnsi"/>
          <w:sz w:val="24"/>
          <w:szCs w:val="24"/>
        </w:rPr>
        <w:t>, 25 (4): 586-606.</w:t>
      </w:r>
    </w:p>
    <w:p w14:paraId="69136992" w14:textId="77777777" w:rsidR="004540C9" w:rsidRPr="007C4551" w:rsidRDefault="004540C9" w:rsidP="000F79CA">
      <w:pPr>
        <w:autoSpaceDE w:val="0"/>
        <w:autoSpaceDN w:val="0"/>
        <w:adjustRightInd w:val="0"/>
        <w:spacing w:after="0" w:line="240" w:lineRule="auto"/>
        <w:ind w:left="540" w:hanging="540"/>
        <w:rPr>
          <w:rFonts w:cstheme="minorHAnsi"/>
          <w:sz w:val="24"/>
          <w:szCs w:val="24"/>
        </w:rPr>
      </w:pPr>
      <w:r w:rsidRPr="007C4551">
        <w:rPr>
          <w:rFonts w:cstheme="minorHAnsi"/>
          <w:sz w:val="24"/>
          <w:szCs w:val="24"/>
        </w:rPr>
        <w:t xml:space="preserve">Standard and Poor’s (2007) </w:t>
      </w:r>
      <w:r w:rsidRPr="007C4551">
        <w:rPr>
          <w:rFonts w:cstheme="minorHAnsi"/>
          <w:i/>
          <w:sz w:val="24"/>
          <w:szCs w:val="24"/>
        </w:rPr>
        <w:t>Sovereign Credit Ratings: A Primer</w:t>
      </w:r>
      <w:r w:rsidRPr="007C4551">
        <w:rPr>
          <w:rFonts w:cstheme="minorHAnsi"/>
          <w:sz w:val="24"/>
          <w:szCs w:val="24"/>
        </w:rPr>
        <w:t>. New York: Standard and Poor’s.</w:t>
      </w:r>
    </w:p>
    <w:p w14:paraId="5E3B02DF" w14:textId="77777777" w:rsidR="00632363" w:rsidRPr="007C4551" w:rsidRDefault="00632363" w:rsidP="000F79CA">
      <w:pPr>
        <w:spacing w:after="0" w:line="240" w:lineRule="auto"/>
        <w:ind w:left="540" w:hanging="540"/>
        <w:rPr>
          <w:rFonts w:cstheme="minorHAnsi"/>
          <w:sz w:val="24"/>
          <w:szCs w:val="24"/>
        </w:rPr>
      </w:pPr>
      <w:r w:rsidRPr="007C4551">
        <w:rPr>
          <w:rFonts w:cstheme="minorHAnsi"/>
          <w:sz w:val="24"/>
          <w:szCs w:val="24"/>
        </w:rPr>
        <w:t xml:space="preserve">Summers, L.H. (1983) “The nonadjustment of nominal interest rates: A study of the Fisher effect,” in J. Tobin (ed.) </w:t>
      </w:r>
      <w:r w:rsidRPr="007C4551">
        <w:rPr>
          <w:rFonts w:cstheme="minorHAnsi"/>
          <w:i/>
          <w:sz w:val="24"/>
          <w:szCs w:val="24"/>
        </w:rPr>
        <w:t>Macroeconomics, Prices, and Quantities</w:t>
      </w:r>
      <w:r w:rsidRPr="007C4551">
        <w:rPr>
          <w:rFonts w:cstheme="minorHAnsi"/>
          <w:sz w:val="24"/>
          <w:szCs w:val="24"/>
        </w:rPr>
        <w:t>, 201-244, Washington, DC: The Brooking Institution.</w:t>
      </w:r>
    </w:p>
    <w:p w14:paraId="496E0FF8" w14:textId="77777777" w:rsidR="00C047AC" w:rsidRPr="007C4551" w:rsidRDefault="00C047AC" w:rsidP="000F79CA">
      <w:pPr>
        <w:spacing w:after="0" w:line="240" w:lineRule="auto"/>
        <w:ind w:left="540" w:hanging="540"/>
        <w:rPr>
          <w:rFonts w:cstheme="minorHAnsi"/>
          <w:sz w:val="24"/>
          <w:szCs w:val="24"/>
        </w:rPr>
      </w:pPr>
      <w:r w:rsidRPr="007C4551">
        <w:rPr>
          <w:rFonts w:cstheme="minorHAnsi"/>
          <w:sz w:val="24"/>
          <w:szCs w:val="24"/>
        </w:rPr>
        <w:t xml:space="preserve">Taylor, L., Proaño Laura de Carvalho, C.R. and Barbosa, N. (2012) “Fiscal deficits, economic growth and government debt in the USA” </w:t>
      </w:r>
      <w:r w:rsidRPr="007C4551">
        <w:rPr>
          <w:rFonts w:cstheme="minorHAnsi"/>
          <w:i/>
          <w:sz w:val="24"/>
          <w:szCs w:val="24"/>
        </w:rPr>
        <w:t>Cambridge Journal of Economics</w:t>
      </w:r>
      <w:r w:rsidRPr="007C4551">
        <w:rPr>
          <w:rFonts w:cstheme="minorHAnsi"/>
          <w:sz w:val="24"/>
          <w:szCs w:val="24"/>
        </w:rPr>
        <w:t>, 36 (1): 189–204.</w:t>
      </w:r>
    </w:p>
    <w:p w14:paraId="24FC8AC4" w14:textId="2E8CBF94" w:rsidR="00547600" w:rsidRPr="007C4551" w:rsidRDefault="00547600" w:rsidP="000F79CA">
      <w:pPr>
        <w:spacing w:after="0" w:line="240" w:lineRule="auto"/>
        <w:ind w:left="540" w:hanging="540"/>
        <w:rPr>
          <w:rFonts w:cstheme="minorHAnsi"/>
          <w:sz w:val="24"/>
          <w:szCs w:val="24"/>
        </w:rPr>
      </w:pPr>
      <w:r w:rsidRPr="007C4551">
        <w:rPr>
          <w:rFonts w:cstheme="minorHAnsi"/>
          <w:sz w:val="24"/>
          <w:szCs w:val="24"/>
        </w:rPr>
        <w:t>Tori, D. and Onaran, Ö (2017) “The effects of financialisation and financial development on investment: Evidence from firm-level data in Europe,” Greenwich Political Economy Research Center, Working Paper 44.</w:t>
      </w:r>
    </w:p>
    <w:p w14:paraId="7E87D765" w14:textId="26E11C04" w:rsidR="00B70C87" w:rsidRPr="007C4551" w:rsidRDefault="00632363" w:rsidP="000F79CA">
      <w:pPr>
        <w:spacing w:after="0" w:line="240" w:lineRule="auto"/>
        <w:ind w:left="540" w:hanging="540"/>
        <w:rPr>
          <w:rFonts w:cstheme="minorHAnsi"/>
          <w:sz w:val="24"/>
          <w:szCs w:val="24"/>
        </w:rPr>
      </w:pPr>
      <w:r w:rsidRPr="007C4551">
        <w:rPr>
          <w:rFonts w:cstheme="minorHAnsi"/>
          <w:sz w:val="24"/>
          <w:szCs w:val="24"/>
        </w:rPr>
        <w:t xml:space="preserve">Tymoigne, E. (2006) </w:t>
      </w:r>
      <w:r w:rsidRPr="007C4551">
        <w:rPr>
          <w:rFonts w:cstheme="minorHAnsi"/>
          <w:i/>
          <w:sz w:val="24"/>
          <w:szCs w:val="24"/>
        </w:rPr>
        <w:t>Central Banking, Asset Prices and Financial Fragility</w:t>
      </w:r>
      <w:r w:rsidRPr="007C4551">
        <w:rPr>
          <w:rFonts w:cstheme="minorHAnsi"/>
          <w:sz w:val="24"/>
          <w:szCs w:val="24"/>
        </w:rPr>
        <w:t>. New York: Routledge</w:t>
      </w:r>
    </w:p>
    <w:p w14:paraId="51804E9B" w14:textId="47E7B70D" w:rsidR="00C047AC" w:rsidRPr="007C4551" w:rsidRDefault="00B92345" w:rsidP="000F79CA">
      <w:pPr>
        <w:spacing w:after="0" w:line="240" w:lineRule="auto"/>
        <w:ind w:left="540" w:hanging="540"/>
        <w:rPr>
          <w:rFonts w:cstheme="minorHAnsi"/>
          <w:sz w:val="24"/>
          <w:szCs w:val="24"/>
        </w:rPr>
      </w:pPr>
      <w:r w:rsidRPr="007C4551">
        <w:rPr>
          <w:rFonts w:cstheme="minorHAnsi"/>
          <w:sz w:val="24"/>
          <w:szCs w:val="24"/>
        </w:rPr>
        <w:t xml:space="preserve">Tymoigne, E. </w:t>
      </w:r>
      <w:r w:rsidR="00C047AC" w:rsidRPr="007C4551">
        <w:rPr>
          <w:rFonts w:cstheme="minorHAnsi"/>
          <w:sz w:val="24"/>
          <w:szCs w:val="24"/>
        </w:rPr>
        <w:t xml:space="preserve">(2010) </w:t>
      </w:r>
      <w:r w:rsidR="00C047AC" w:rsidRPr="007C4551">
        <w:rPr>
          <w:rFonts w:cstheme="minorHAnsi"/>
          <w:bCs/>
          <w:sz w:val="24"/>
          <w:szCs w:val="24"/>
        </w:rPr>
        <w:t xml:space="preserve">“Minsky and Economic Policy: ‘Keynesianism’ all over again?” In Papadimitriou, D. and L.R. Wray (eds.), </w:t>
      </w:r>
      <w:r w:rsidR="00C047AC" w:rsidRPr="007C4551">
        <w:rPr>
          <w:rFonts w:cstheme="minorHAnsi"/>
          <w:bCs/>
          <w:i/>
          <w:sz w:val="24"/>
          <w:szCs w:val="24"/>
        </w:rPr>
        <w:t>The Elgar Companion to Hyman P. Minsky</w:t>
      </w:r>
      <w:r w:rsidR="00C047AC" w:rsidRPr="007C4551">
        <w:rPr>
          <w:rFonts w:cstheme="minorHAnsi"/>
          <w:bCs/>
          <w:sz w:val="24"/>
          <w:szCs w:val="24"/>
        </w:rPr>
        <w:t>, 47-83. Northampton: Edward Elgar.</w:t>
      </w:r>
    </w:p>
    <w:p w14:paraId="371817ED" w14:textId="10597887" w:rsidR="00B92345" w:rsidRPr="007C4551" w:rsidRDefault="00B92345" w:rsidP="000F79CA">
      <w:pPr>
        <w:spacing w:after="0" w:line="240" w:lineRule="auto"/>
        <w:ind w:left="540" w:hanging="540"/>
        <w:jc w:val="both"/>
        <w:rPr>
          <w:rFonts w:cstheme="minorHAnsi"/>
          <w:sz w:val="24"/>
          <w:szCs w:val="24"/>
        </w:rPr>
      </w:pPr>
      <w:r w:rsidRPr="007C4551">
        <w:rPr>
          <w:rFonts w:cstheme="minorHAnsi"/>
          <w:sz w:val="24"/>
          <w:szCs w:val="24"/>
        </w:rPr>
        <w:t>Tymoigne, E. (2020) “Monetary Sovereignty: Natur</w:t>
      </w:r>
      <w:r w:rsidR="00E97E3D" w:rsidRPr="007C4551">
        <w:rPr>
          <w:rFonts w:cstheme="minorHAnsi"/>
          <w:sz w:val="24"/>
          <w:szCs w:val="24"/>
        </w:rPr>
        <w:t>e, Implementation, Implications,</w:t>
      </w:r>
      <w:r w:rsidRPr="007C4551">
        <w:rPr>
          <w:rFonts w:cstheme="minorHAnsi"/>
          <w:sz w:val="24"/>
          <w:szCs w:val="24"/>
        </w:rPr>
        <w:t xml:space="preserve">” </w:t>
      </w:r>
      <w:r w:rsidRPr="007C4551">
        <w:rPr>
          <w:rFonts w:cstheme="minorHAnsi"/>
          <w:i/>
          <w:sz w:val="24"/>
          <w:szCs w:val="24"/>
        </w:rPr>
        <w:t>Public Budgeting and Finance</w:t>
      </w:r>
      <w:r w:rsidRPr="007C4551">
        <w:rPr>
          <w:rFonts w:cstheme="minorHAnsi"/>
          <w:sz w:val="24"/>
          <w:szCs w:val="24"/>
        </w:rPr>
        <w:t>, 40 (3): 49-71.</w:t>
      </w:r>
    </w:p>
    <w:p w14:paraId="62C9E53D" w14:textId="22A7637A" w:rsidR="00547600" w:rsidRPr="007C4551" w:rsidRDefault="00547600" w:rsidP="0084497D">
      <w:pPr>
        <w:spacing w:after="0" w:line="240" w:lineRule="auto"/>
        <w:ind w:left="540" w:hanging="540"/>
        <w:rPr>
          <w:rFonts w:cstheme="minorHAnsi"/>
          <w:sz w:val="24"/>
          <w:szCs w:val="24"/>
        </w:rPr>
      </w:pPr>
      <w:r w:rsidRPr="007C4551">
        <w:rPr>
          <w:rFonts w:cstheme="minorHAnsi"/>
          <w:sz w:val="24"/>
          <w:szCs w:val="24"/>
        </w:rPr>
        <w:t>Tymoigne</w:t>
      </w:r>
      <w:r w:rsidR="00B92345" w:rsidRPr="007C4551">
        <w:rPr>
          <w:rFonts w:cstheme="minorHAnsi"/>
          <w:sz w:val="24"/>
          <w:szCs w:val="24"/>
        </w:rPr>
        <w:t>, E</w:t>
      </w:r>
      <w:r w:rsidRPr="007C4551">
        <w:rPr>
          <w:rFonts w:cstheme="minorHAnsi"/>
          <w:sz w:val="24"/>
          <w:szCs w:val="24"/>
        </w:rPr>
        <w:t xml:space="preserve">. and Wray, L.R. (2014) </w:t>
      </w:r>
      <w:r w:rsidRPr="007C4551">
        <w:rPr>
          <w:rFonts w:cstheme="minorHAnsi"/>
          <w:i/>
          <w:sz w:val="24"/>
          <w:szCs w:val="24"/>
        </w:rPr>
        <w:t>The Rise and Fall of Money Manager Capitalism:</w:t>
      </w:r>
      <w:r w:rsidRPr="007C4551">
        <w:rPr>
          <w:rFonts w:cstheme="minorHAnsi"/>
          <w:b/>
          <w:sz w:val="24"/>
          <w:szCs w:val="24"/>
        </w:rPr>
        <w:t xml:space="preserve"> </w:t>
      </w:r>
      <w:r w:rsidRPr="007C4551">
        <w:rPr>
          <w:rFonts w:cstheme="minorHAnsi"/>
          <w:i/>
          <w:sz w:val="24"/>
          <w:szCs w:val="24"/>
        </w:rPr>
        <w:t>Minsky Half-Century from World War Two to the Great Recession</w:t>
      </w:r>
      <w:r w:rsidRPr="007C4551">
        <w:rPr>
          <w:rFonts w:cstheme="minorHAnsi"/>
          <w:sz w:val="24"/>
          <w:szCs w:val="24"/>
        </w:rPr>
        <w:t>. New York: Routledge.</w:t>
      </w:r>
    </w:p>
    <w:p w14:paraId="2D8F34B4" w14:textId="374F6F17" w:rsidR="00F93FB9" w:rsidRPr="007C4551" w:rsidRDefault="00F93FB9" w:rsidP="0084497D">
      <w:pPr>
        <w:autoSpaceDE w:val="0"/>
        <w:autoSpaceDN w:val="0"/>
        <w:adjustRightInd w:val="0"/>
        <w:spacing w:after="0" w:line="240" w:lineRule="auto"/>
        <w:ind w:left="540" w:hanging="540"/>
        <w:rPr>
          <w:rFonts w:cstheme="minorHAnsi"/>
          <w:sz w:val="24"/>
          <w:szCs w:val="24"/>
        </w:rPr>
      </w:pPr>
      <w:r w:rsidRPr="007C4551">
        <w:rPr>
          <w:rFonts w:cstheme="minorHAnsi"/>
          <w:sz w:val="24"/>
          <w:szCs w:val="24"/>
        </w:rPr>
        <w:t xml:space="preserve">Steindl, J. (1979) “Stagnation theory and stagnation policy,” </w:t>
      </w:r>
      <w:r w:rsidRPr="007C4551">
        <w:rPr>
          <w:rFonts w:cstheme="minorHAnsi"/>
          <w:i/>
          <w:sz w:val="24"/>
          <w:szCs w:val="24"/>
        </w:rPr>
        <w:t>Cambridge Journal of Economics</w:t>
      </w:r>
      <w:r w:rsidRPr="007C4551">
        <w:rPr>
          <w:rFonts w:cstheme="minorHAnsi"/>
          <w:sz w:val="24"/>
          <w:szCs w:val="24"/>
        </w:rPr>
        <w:t>, 3 (1): 1-14.</w:t>
      </w:r>
    </w:p>
    <w:p w14:paraId="101D46BE" w14:textId="0FCFAF92" w:rsidR="00F54DF9" w:rsidRPr="007C4551" w:rsidRDefault="00F54DF9" w:rsidP="0084497D">
      <w:pPr>
        <w:autoSpaceDE w:val="0"/>
        <w:autoSpaceDN w:val="0"/>
        <w:adjustRightInd w:val="0"/>
        <w:spacing w:after="0" w:line="240" w:lineRule="auto"/>
        <w:ind w:left="540" w:hanging="540"/>
        <w:rPr>
          <w:rFonts w:cstheme="minorHAnsi"/>
          <w:sz w:val="24"/>
          <w:szCs w:val="24"/>
        </w:rPr>
      </w:pPr>
      <w:r w:rsidRPr="007C4551">
        <w:rPr>
          <w:rFonts w:cstheme="minorHAnsi"/>
          <w:sz w:val="24"/>
          <w:szCs w:val="24"/>
        </w:rPr>
        <w:t xml:space="preserve">Walker, J.F. and Vatter, H.G. (1989), “Why has the United States Operated Below Potential Since World War II?” </w:t>
      </w:r>
      <w:r w:rsidRPr="007C4551">
        <w:rPr>
          <w:rFonts w:cstheme="minorHAnsi"/>
          <w:i/>
          <w:iCs/>
          <w:sz w:val="24"/>
          <w:szCs w:val="24"/>
        </w:rPr>
        <w:t xml:space="preserve">Journal of Post Keynesian Economics </w:t>
      </w:r>
      <w:r w:rsidRPr="007C4551">
        <w:rPr>
          <w:rFonts w:cstheme="minorHAnsi"/>
          <w:sz w:val="24"/>
          <w:szCs w:val="24"/>
        </w:rPr>
        <w:t>11, 3 (1989): 327-346.</w:t>
      </w:r>
    </w:p>
    <w:p w14:paraId="6B36D85A" w14:textId="2CB336D1" w:rsidR="004011B4" w:rsidRPr="007C4551" w:rsidRDefault="004011B4" w:rsidP="0084497D">
      <w:pPr>
        <w:autoSpaceDE w:val="0"/>
        <w:autoSpaceDN w:val="0"/>
        <w:adjustRightInd w:val="0"/>
        <w:spacing w:after="0" w:line="240" w:lineRule="auto"/>
        <w:ind w:left="540" w:hanging="540"/>
        <w:rPr>
          <w:rFonts w:cstheme="minorHAnsi"/>
          <w:sz w:val="24"/>
          <w:szCs w:val="24"/>
        </w:rPr>
      </w:pPr>
      <w:r w:rsidRPr="007C4551">
        <w:rPr>
          <w:rFonts w:cstheme="minorHAnsi"/>
          <w:sz w:val="24"/>
          <w:szCs w:val="24"/>
        </w:rPr>
        <w:lastRenderedPageBreak/>
        <w:t xml:space="preserve">Vatter, Harold, John Walker, and Gar Alperovitz. “The Onset and Persistence of Secular Stagnation in the U.S. Economy: 1910-1990.” </w:t>
      </w:r>
      <w:r w:rsidRPr="007C4551">
        <w:rPr>
          <w:rFonts w:cstheme="minorHAnsi"/>
          <w:i/>
          <w:iCs/>
          <w:sz w:val="24"/>
          <w:szCs w:val="24"/>
        </w:rPr>
        <w:t xml:space="preserve">Journal of Economic Issues </w:t>
      </w:r>
      <w:r w:rsidRPr="007C4551">
        <w:rPr>
          <w:rFonts w:cstheme="minorHAnsi"/>
          <w:sz w:val="24"/>
          <w:szCs w:val="24"/>
        </w:rPr>
        <w:t>29, 2 (1995): 591-600.</w:t>
      </w:r>
    </w:p>
    <w:p w14:paraId="2FC115D6" w14:textId="4C2F9609" w:rsidR="0084497D" w:rsidRPr="007C4551" w:rsidRDefault="0084497D" w:rsidP="0084497D">
      <w:pPr>
        <w:autoSpaceDE w:val="0"/>
        <w:autoSpaceDN w:val="0"/>
        <w:adjustRightInd w:val="0"/>
        <w:spacing w:after="0" w:line="240" w:lineRule="auto"/>
        <w:ind w:left="540" w:hanging="540"/>
        <w:rPr>
          <w:rFonts w:cstheme="minorHAnsi"/>
          <w:sz w:val="24"/>
          <w:szCs w:val="24"/>
        </w:rPr>
      </w:pPr>
      <w:r w:rsidRPr="007C4551">
        <w:rPr>
          <w:rFonts w:cstheme="minorHAnsi"/>
          <w:sz w:val="24"/>
          <w:szCs w:val="24"/>
        </w:rPr>
        <w:t xml:space="preserve">Wray, L.R. (2006) “Social Security in an aging society,” </w:t>
      </w:r>
      <w:r w:rsidRPr="007C4551">
        <w:rPr>
          <w:rFonts w:cstheme="minorHAnsi"/>
          <w:i/>
          <w:iCs/>
          <w:sz w:val="24"/>
          <w:szCs w:val="24"/>
        </w:rPr>
        <w:t>Review of Political Economy</w:t>
      </w:r>
      <w:r w:rsidRPr="007C4551">
        <w:rPr>
          <w:rFonts w:cstheme="minorHAnsi"/>
          <w:sz w:val="24"/>
          <w:szCs w:val="24"/>
        </w:rPr>
        <w:t>, 18 (3): 391-412.</w:t>
      </w:r>
    </w:p>
    <w:p w14:paraId="724ACCAF" w14:textId="0A13AC2E" w:rsidR="00C047AC" w:rsidRPr="007C4551" w:rsidRDefault="00C047AC" w:rsidP="0084497D">
      <w:pPr>
        <w:autoSpaceDE w:val="0"/>
        <w:autoSpaceDN w:val="0"/>
        <w:adjustRightInd w:val="0"/>
        <w:spacing w:after="0" w:line="240" w:lineRule="auto"/>
        <w:ind w:left="540" w:hanging="540"/>
        <w:rPr>
          <w:rFonts w:cstheme="minorHAnsi"/>
          <w:sz w:val="24"/>
          <w:szCs w:val="24"/>
        </w:rPr>
      </w:pPr>
      <w:r w:rsidRPr="007C4551">
        <w:rPr>
          <w:rFonts w:cstheme="minorHAnsi"/>
          <w:sz w:val="24"/>
          <w:szCs w:val="24"/>
        </w:rPr>
        <w:t xml:space="preserve">Wray, L.R. (2008) “Demand Constraints and Big Government,” </w:t>
      </w:r>
      <w:r w:rsidRPr="007C4551">
        <w:rPr>
          <w:rFonts w:cstheme="minorHAnsi"/>
          <w:i/>
          <w:sz w:val="24"/>
          <w:szCs w:val="24"/>
        </w:rPr>
        <w:t>Journal of Economic Issues</w:t>
      </w:r>
      <w:r w:rsidRPr="007C4551">
        <w:rPr>
          <w:rFonts w:cstheme="minorHAnsi"/>
          <w:sz w:val="24"/>
          <w:szCs w:val="24"/>
        </w:rPr>
        <w:t>, 42 (1): 153-173.</w:t>
      </w:r>
    </w:p>
    <w:p w14:paraId="0F3CDB3A" w14:textId="66A62D1B" w:rsidR="004540C9" w:rsidRPr="007C4551" w:rsidRDefault="004540C9" w:rsidP="0084497D">
      <w:pPr>
        <w:spacing w:after="0" w:line="240" w:lineRule="auto"/>
        <w:ind w:left="540" w:hanging="540"/>
        <w:rPr>
          <w:rFonts w:cstheme="minorHAnsi"/>
          <w:sz w:val="24"/>
          <w:szCs w:val="24"/>
        </w:rPr>
      </w:pPr>
      <w:r w:rsidRPr="007C4551">
        <w:rPr>
          <w:rFonts w:cstheme="minorHAnsi"/>
          <w:sz w:val="24"/>
          <w:szCs w:val="24"/>
        </w:rPr>
        <w:t xml:space="preserve">Zivney, T.L. and Marcus, R.D. (1989) “The Day the United States Defaulted on Treasury Bills” </w:t>
      </w:r>
      <w:r w:rsidRPr="007C4551">
        <w:rPr>
          <w:rFonts w:cstheme="minorHAnsi"/>
          <w:i/>
          <w:sz w:val="24"/>
          <w:szCs w:val="24"/>
        </w:rPr>
        <w:t>Financial Review</w:t>
      </w:r>
      <w:r w:rsidRPr="007C4551">
        <w:rPr>
          <w:rFonts w:cstheme="minorHAnsi"/>
          <w:sz w:val="24"/>
          <w:szCs w:val="24"/>
        </w:rPr>
        <w:t>, 24 (3): 475-489</w:t>
      </w:r>
    </w:p>
    <w:p w14:paraId="599B723A" w14:textId="55D8F04F" w:rsidR="003804C3" w:rsidRPr="00CA4DA0" w:rsidRDefault="003804C3" w:rsidP="00CA4103">
      <w:pPr>
        <w:spacing w:after="0" w:line="240" w:lineRule="auto"/>
        <w:rPr>
          <w:rFonts w:cstheme="minorHAnsi"/>
          <w:sz w:val="24"/>
          <w:szCs w:val="24"/>
        </w:rPr>
      </w:pPr>
      <w:r w:rsidRPr="00CA4DA0">
        <w:rPr>
          <w:rFonts w:cstheme="minorHAnsi"/>
          <w:sz w:val="24"/>
          <w:szCs w:val="24"/>
        </w:rPr>
        <w:br w:type="page"/>
      </w:r>
    </w:p>
    <w:p w14:paraId="33C5671A" w14:textId="77777777" w:rsidR="003804C3" w:rsidRPr="00CA4DA0" w:rsidRDefault="003804C3" w:rsidP="003804C3">
      <w:pPr>
        <w:jc w:val="center"/>
        <w:rPr>
          <w:rFonts w:cstheme="minorHAnsi"/>
          <w:sz w:val="24"/>
          <w:szCs w:val="24"/>
        </w:rPr>
      </w:pPr>
    </w:p>
    <w:p w14:paraId="37112BA2" w14:textId="129F22D9" w:rsidR="003804C3" w:rsidRPr="00CA4DA0" w:rsidRDefault="00201499" w:rsidP="003804C3">
      <w:pPr>
        <w:jc w:val="center"/>
        <w:rPr>
          <w:rFonts w:cstheme="minorHAnsi"/>
          <w:sz w:val="24"/>
          <w:szCs w:val="24"/>
        </w:rPr>
      </w:pPr>
      <w:r w:rsidRPr="00CA4DA0">
        <w:rPr>
          <w:rFonts w:cstheme="minorHAnsi"/>
          <w:noProof/>
          <w:sz w:val="24"/>
          <w:szCs w:val="24"/>
        </w:rPr>
        <w:drawing>
          <wp:inline distT="0" distB="0" distL="0" distR="0" wp14:anchorId="021FFB3E" wp14:editId="7E08AB68">
            <wp:extent cx="4315968" cy="3136392"/>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15968" cy="3136392"/>
                    </a:xfrm>
                    <a:prstGeom prst="rect">
                      <a:avLst/>
                    </a:prstGeom>
                    <a:noFill/>
                  </pic:spPr>
                </pic:pic>
              </a:graphicData>
            </a:graphic>
          </wp:inline>
        </w:drawing>
      </w:r>
    </w:p>
    <w:p w14:paraId="66C968EA" w14:textId="77777777" w:rsidR="0056106B" w:rsidRPr="00CA4DA0" w:rsidRDefault="0056106B" w:rsidP="003444BD">
      <w:pPr>
        <w:rPr>
          <w:rFonts w:cstheme="minorHAnsi"/>
          <w:sz w:val="24"/>
          <w:szCs w:val="24"/>
        </w:rPr>
      </w:pPr>
      <w:r w:rsidRPr="00CA4DA0">
        <w:rPr>
          <w:rFonts w:cstheme="minorHAnsi"/>
          <w:sz w:val="24"/>
          <w:szCs w:val="24"/>
        </w:rPr>
        <w:t>Figure 1. A century of interest rates on safe debts in the United States, percent</w:t>
      </w:r>
    </w:p>
    <w:p w14:paraId="28C3C1DE" w14:textId="6F34E37E" w:rsidR="003804C3" w:rsidRPr="00CA4DA0" w:rsidRDefault="003804C3" w:rsidP="003444BD">
      <w:pPr>
        <w:rPr>
          <w:rFonts w:cstheme="minorHAnsi"/>
          <w:sz w:val="24"/>
          <w:szCs w:val="24"/>
        </w:rPr>
      </w:pPr>
      <w:r w:rsidRPr="00CA4DA0">
        <w:rPr>
          <w:rFonts w:cstheme="minorHAnsi"/>
          <w:sz w:val="24"/>
          <w:szCs w:val="24"/>
        </w:rPr>
        <w:t>Sources: Board of Governors of the Federal Reserve System (series H.15), Freddie Mac, National Bureau of Economic Research</w:t>
      </w:r>
    </w:p>
    <w:p w14:paraId="78F11738" w14:textId="77777777" w:rsidR="003804C3" w:rsidRPr="00CA4DA0" w:rsidRDefault="003804C3" w:rsidP="003444BD">
      <w:pPr>
        <w:rPr>
          <w:rFonts w:cstheme="minorHAnsi"/>
          <w:sz w:val="24"/>
          <w:szCs w:val="24"/>
        </w:rPr>
      </w:pPr>
      <w:r w:rsidRPr="00CA4DA0">
        <w:rPr>
          <w:rFonts w:cstheme="minorHAnsi"/>
          <w:sz w:val="24"/>
          <w:szCs w:val="24"/>
        </w:rPr>
        <w:t xml:space="preserve">Note: The average short-term rate is composed of the rate on </w:t>
      </w:r>
      <w:r w:rsidRPr="00CA4DA0">
        <w:rPr>
          <w:rStyle w:val="css-901oao"/>
          <w:rFonts w:cstheme="minorHAnsi"/>
          <w:sz w:val="24"/>
          <w:szCs w:val="24"/>
        </w:rPr>
        <w:t>3-month United States Treasury securities (UST), 1-year UST, 3-month AA commercial paper and short-term prime bank loan. The average long-term rate is composed of the rate on 10-year UST, 20-year UST, and AAA corporate bond.</w:t>
      </w:r>
    </w:p>
    <w:p w14:paraId="5414BAAD" w14:textId="3919D59F" w:rsidR="003804C3" w:rsidRPr="00CA4DA0" w:rsidRDefault="003804C3" w:rsidP="003804C3">
      <w:pPr>
        <w:rPr>
          <w:rFonts w:cstheme="minorHAnsi"/>
          <w:sz w:val="24"/>
          <w:szCs w:val="24"/>
        </w:rPr>
      </w:pPr>
    </w:p>
    <w:p w14:paraId="2F250875" w14:textId="0CF2030E" w:rsidR="00906A34" w:rsidRPr="00CA4DA0" w:rsidRDefault="00201499" w:rsidP="0056106B">
      <w:pPr>
        <w:jc w:val="center"/>
        <w:rPr>
          <w:rFonts w:cstheme="minorHAnsi"/>
          <w:sz w:val="24"/>
          <w:szCs w:val="24"/>
        </w:rPr>
      </w:pPr>
      <w:r w:rsidRPr="00CA4DA0">
        <w:rPr>
          <w:rFonts w:cstheme="minorHAnsi"/>
          <w:noProof/>
          <w:sz w:val="24"/>
          <w:szCs w:val="24"/>
        </w:rPr>
        <w:lastRenderedPageBreak/>
        <w:drawing>
          <wp:inline distT="0" distB="0" distL="0" distR="0" wp14:anchorId="76F3F231" wp14:editId="3B6BF47F">
            <wp:extent cx="4315968" cy="3136392"/>
            <wp:effectExtent l="0" t="0" r="889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15968" cy="3136392"/>
                    </a:xfrm>
                    <a:prstGeom prst="rect">
                      <a:avLst/>
                    </a:prstGeom>
                    <a:noFill/>
                  </pic:spPr>
                </pic:pic>
              </a:graphicData>
            </a:graphic>
          </wp:inline>
        </w:drawing>
      </w:r>
    </w:p>
    <w:p w14:paraId="7D67A717" w14:textId="52E8EB17" w:rsidR="00187091" w:rsidRPr="00CA4DA0" w:rsidRDefault="00187091" w:rsidP="00187091">
      <w:pPr>
        <w:rPr>
          <w:rFonts w:cstheme="minorHAnsi"/>
          <w:sz w:val="24"/>
          <w:szCs w:val="24"/>
        </w:rPr>
      </w:pPr>
      <w:r w:rsidRPr="00CA4DA0">
        <w:rPr>
          <w:rFonts w:cstheme="minorHAnsi"/>
          <w:sz w:val="24"/>
          <w:szCs w:val="24"/>
        </w:rPr>
        <w:t xml:space="preserve">Figure </w:t>
      </w:r>
      <w:r w:rsidR="0056106B" w:rsidRPr="00CA4DA0">
        <w:rPr>
          <w:rFonts w:cstheme="minorHAnsi"/>
          <w:sz w:val="24"/>
          <w:szCs w:val="24"/>
        </w:rPr>
        <w:t>2</w:t>
      </w:r>
      <w:r w:rsidRPr="00CA4DA0">
        <w:rPr>
          <w:rFonts w:cstheme="minorHAnsi"/>
          <w:sz w:val="24"/>
          <w:szCs w:val="24"/>
        </w:rPr>
        <w:t>. Monetary policy and nominal interest rates</w:t>
      </w:r>
      <w:r w:rsidR="00201499" w:rsidRPr="00CA4DA0">
        <w:rPr>
          <w:rFonts w:cstheme="minorHAnsi"/>
          <w:sz w:val="24"/>
          <w:szCs w:val="24"/>
        </w:rPr>
        <w:t>, January 1919 to June 2021</w:t>
      </w:r>
    </w:p>
    <w:p w14:paraId="0C821399" w14:textId="5BA60BB8" w:rsidR="00187091" w:rsidRPr="00CA4DA0" w:rsidRDefault="00187091" w:rsidP="00187091">
      <w:pPr>
        <w:rPr>
          <w:rFonts w:cstheme="minorHAnsi"/>
          <w:sz w:val="24"/>
          <w:szCs w:val="24"/>
        </w:rPr>
      </w:pPr>
      <w:r w:rsidRPr="00CA4DA0">
        <w:rPr>
          <w:rFonts w:cstheme="minorHAnsi"/>
          <w:sz w:val="24"/>
          <w:szCs w:val="24"/>
        </w:rPr>
        <w:t>Sources: National Bureau of Economic Research (Macrohistory Database)</w:t>
      </w:r>
      <w:r w:rsidR="00F847F5" w:rsidRPr="00CA4DA0">
        <w:rPr>
          <w:rFonts w:cstheme="minorHAnsi"/>
          <w:sz w:val="24"/>
          <w:szCs w:val="24"/>
        </w:rPr>
        <w:t>, FRED.</w:t>
      </w:r>
    </w:p>
    <w:p w14:paraId="4989CD4A" w14:textId="5EB3B5C9" w:rsidR="00187091" w:rsidRPr="00CA4DA0" w:rsidRDefault="00187091" w:rsidP="00187091">
      <w:pPr>
        <w:rPr>
          <w:rFonts w:cstheme="minorHAnsi"/>
          <w:sz w:val="24"/>
          <w:szCs w:val="24"/>
        </w:rPr>
      </w:pPr>
    </w:p>
    <w:p w14:paraId="2F51C77F" w14:textId="6F5F270E" w:rsidR="00187091" w:rsidRPr="00CA4DA0" w:rsidRDefault="00187091" w:rsidP="00187091">
      <w:pPr>
        <w:rPr>
          <w:rFonts w:cstheme="minorHAnsi"/>
          <w:sz w:val="24"/>
          <w:szCs w:val="24"/>
        </w:rPr>
      </w:pPr>
    </w:p>
    <w:p w14:paraId="306A2EB6" w14:textId="639D8266" w:rsidR="00187091" w:rsidRPr="00CA4DA0" w:rsidRDefault="005524C8" w:rsidP="0056106B">
      <w:pPr>
        <w:jc w:val="center"/>
        <w:rPr>
          <w:rFonts w:cstheme="minorHAnsi"/>
          <w:sz w:val="24"/>
          <w:szCs w:val="24"/>
        </w:rPr>
      </w:pPr>
      <w:r w:rsidRPr="00CA4DA0">
        <w:rPr>
          <w:rFonts w:cstheme="minorHAnsi"/>
          <w:noProof/>
          <w:sz w:val="24"/>
          <w:szCs w:val="24"/>
        </w:rPr>
        <w:drawing>
          <wp:inline distT="0" distB="0" distL="0" distR="0" wp14:anchorId="459C7DD7" wp14:editId="60BE9D59">
            <wp:extent cx="4315968" cy="3136392"/>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15968" cy="3136392"/>
                    </a:xfrm>
                    <a:prstGeom prst="rect">
                      <a:avLst/>
                    </a:prstGeom>
                    <a:noFill/>
                  </pic:spPr>
                </pic:pic>
              </a:graphicData>
            </a:graphic>
          </wp:inline>
        </w:drawing>
      </w:r>
    </w:p>
    <w:p w14:paraId="2CA07792" w14:textId="3F1D3DB7" w:rsidR="00201499" w:rsidRPr="00CA4DA0" w:rsidRDefault="00C06C6F" w:rsidP="00201499">
      <w:pPr>
        <w:rPr>
          <w:rFonts w:cstheme="minorHAnsi"/>
          <w:sz w:val="24"/>
          <w:szCs w:val="24"/>
        </w:rPr>
      </w:pPr>
      <w:r w:rsidRPr="00CA4DA0">
        <w:rPr>
          <w:rFonts w:cstheme="minorHAnsi"/>
          <w:sz w:val="24"/>
          <w:szCs w:val="24"/>
        </w:rPr>
        <w:t xml:space="preserve">Figure 3. </w:t>
      </w:r>
      <w:r w:rsidR="00201499" w:rsidRPr="00CA4DA0">
        <w:rPr>
          <w:rFonts w:cstheme="minorHAnsi"/>
          <w:sz w:val="24"/>
          <w:szCs w:val="24"/>
        </w:rPr>
        <w:t>Fiscal Balance and Interest Rates, 1900 to 2021</w:t>
      </w:r>
    </w:p>
    <w:p w14:paraId="15F3AA29" w14:textId="7DB49D8E" w:rsidR="00201499" w:rsidRPr="00CA4DA0" w:rsidRDefault="00201499" w:rsidP="00201499">
      <w:pPr>
        <w:rPr>
          <w:rFonts w:cstheme="minorHAnsi"/>
          <w:sz w:val="24"/>
          <w:szCs w:val="24"/>
        </w:rPr>
      </w:pPr>
      <w:r w:rsidRPr="00CA4DA0">
        <w:rPr>
          <w:rFonts w:cstheme="minorHAnsi"/>
          <w:sz w:val="24"/>
          <w:szCs w:val="24"/>
        </w:rPr>
        <w:lastRenderedPageBreak/>
        <w:t>National Bureau of Economic Research (Macrohistory Database, Tables from "The American Business Cycle"), Treasury Bulletin (via FRASER), FRED, Bureau of Fiscal Service (</w:t>
      </w:r>
      <w:r w:rsidRPr="00CA4DA0">
        <w:rPr>
          <w:rFonts w:cstheme="minorHAnsi"/>
          <w:i/>
          <w:sz w:val="24"/>
          <w:szCs w:val="24"/>
        </w:rPr>
        <w:t>Monthly Receipts, Outlays, and Deficit or Surplus, Fiscal Years 1981-2021</w:t>
      </w:r>
      <w:r w:rsidRPr="00CA4DA0">
        <w:rPr>
          <w:rFonts w:cstheme="minorHAnsi"/>
          <w:sz w:val="24"/>
          <w:szCs w:val="24"/>
        </w:rPr>
        <w:t>)</w:t>
      </w:r>
    </w:p>
    <w:p w14:paraId="60F18134" w14:textId="2BF68028" w:rsidR="0056106B" w:rsidRPr="00CA4DA0" w:rsidRDefault="0056106B" w:rsidP="00187091">
      <w:pPr>
        <w:rPr>
          <w:rFonts w:cstheme="minorHAnsi"/>
          <w:sz w:val="24"/>
          <w:szCs w:val="24"/>
        </w:rPr>
      </w:pPr>
    </w:p>
    <w:p w14:paraId="2A9F5753" w14:textId="3DE5C7FF" w:rsidR="0056106B" w:rsidRPr="00CA4DA0" w:rsidRDefault="0056106B" w:rsidP="00187091">
      <w:pPr>
        <w:rPr>
          <w:rFonts w:cstheme="minorHAnsi"/>
          <w:sz w:val="24"/>
          <w:szCs w:val="24"/>
        </w:rPr>
      </w:pPr>
    </w:p>
    <w:p w14:paraId="4474CA9E" w14:textId="5DDFD86C" w:rsidR="0056106B" w:rsidRPr="00CA4DA0" w:rsidRDefault="00201499" w:rsidP="0056106B">
      <w:pPr>
        <w:rPr>
          <w:rFonts w:cstheme="minorHAnsi"/>
          <w:sz w:val="24"/>
          <w:szCs w:val="24"/>
        </w:rPr>
      </w:pPr>
      <w:r w:rsidRPr="00CA4DA0">
        <w:rPr>
          <w:rFonts w:cstheme="minorHAnsi"/>
          <w:noProof/>
          <w:sz w:val="24"/>
          <w:szCs w:val="24"/>
        </w:rPr>
        <w:drawing>
          <wp:inline distT="0" distB="0" distL="0" distR="0" wp14:anchorId="7EE8FBAE" wp14:editId="616D8A3C">
            <wp:extent cx="2953512" cy="213969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53512" cy="2139696"/>
                    </a:xfrm>
                    <a:prstGeom prst="rect">
                      <a:avLst/>
                    </a:prstGeom>
                    <a:noFill/>
                  </pic:spPr>
                </pic:pic>
              </a:graphicData>
            </a:graphic>
          </wp:inline>
        </w:drawing>
      </w:r>
      <w:r w:rsidR="0056106B" w:rsidRPr="00CA4DA0">
        <w:rPr>
          <w:rFonts w:cstheme="minorHAnsi"/>
          <w:sz w:val="24"/>
          <w:szCs w:val="24"/>
        </w:rPr>
        <w:t xml:space="preserve"> </w:t>
      </w:r>
      <w:r w:rsidRPr="00CA4DA0">
        <w:rPr>
          <w:rFonts w:cstheme="minorHAnsi"/>
          <w:noProof/>
          <w:sz w:val="24"/>
          <w:szCs w:val="24"/>
        </w:rPr>
        <w:drawing>
          <wp:inline distT="0" distB="0" distL="0" distR="0" wp14:anchorId="79D2DEF5" wp14:editId="425D12F7">
            <wp:extent cx="2953512" cy="213969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53512" cy="2139696"/>
                    </a:xfrm>
                    <a:prstGeom prst="rect">
                      <a:avLst/>
                    </a:prstGeom>
                    <a:noFill/>
                  </pic:spPr>
                </pic:pic>
              </a:graphicData>
            </a:graphic>
          </wp:inline>
        </w:drawing>
      </w:r>
    </w:p>
    <w:p w14:paraId="4F8DE617" w14:textId="78305513" w:rsidR="0056106B" w:rsidRPr="00CA4DA0" w:rsidRDefault="00C06C6F" w:rsidP="0056106B">
      <w:pPr>
        <w:rPr>
          <w:rFonts w:cstheme="minorHAnsi"/>
          <w:sz w:val="24"/>
          <w:szCs w:val="24"/>
        </w:rPr>
      </w:pPr>
      <w:r w:rsidRPr="00CA4DA0">
        <w:rPr>
          <w:rFonts w:cstheme="minorHAnsi"/>
          <w:sz w:val="24"/>
          <w:szCs w:val="24"/>
        </w:rPr>
        <w:t>Figure 4</w:t>
      </w:r>
      <w:r w:rsidR="0056106B" w:rsidRPr="00CA4DA0">
        <w:rPr>
          <w:rFonts w:cstheme="minorHAnsi"/>
          <w:sz w:val="24"/>
          <w:szCs w:val="24"/>
        </w:rPr>
        <w:t xml:space="preserve"> Inflation and interest rates</w:t>
      </w:r>
      <w:r w:rsidR="00773C9F" w:rsidRPr="00CA4DA0">
        <w:rPr>
          <w:rFonts w:cstheme="minorHAnsi"/>
          <w:sz w:val="24"/>
          <w:szCs w:val="24"/>
        </w:rPr>
        <w:t>, 1919 to 2021</w:t>
      </w:r>
    </w:p>
    <w:p w14:paraId="11C0E044" w14:textId="77777777" w:rsidR="0056106B" w:rsidRPr="00CA4DA0" w:rsidRDefault="0056106B" w:rsidP="0056106B">
      <w:pPr>
        <w:rPr>
          <w:rFonts w:cstheme="minorHAnsi"/>
          <w:sz w:val="24"/>
          <w:szCs w:val="24"/>
        </w:rPr>
      </w:pPr>
      <w:r w:rsidRPr="00CA4DA0">
        <w:rPr>
          <w:rFonts w:cstheme="minorHAnsi"/>
          <w:sz w:val="24"/>
          <w:szCs w:val="24"/>
        </w:rPr>
        <w:t>Sources: Board of Governors of the Federal Reserve System (Series H.15), National Bureau of Economic Research (Macrohistory Database), Bureau of Labor Statistics</w:t>
      </w:r>
    </w:p>
    <w:p w14:paraId="333647FF" w14:textId="3CA43C2E" w:rsidR="0056106B" w:rsidRDefault="0056106B" w:rsidP="00187091">
      <w:pPr>
        <w:rPr>
          <w:rFonts w:cstheme="minorHAnsi"/>
          <w:sz w:val="24"/>
          <w:szCs w:val="24"/>
        </w:rPr>
      </w:pPr>
    </w:p>
    <w:p w14:paraId="03A59711" w14:textId="0C25F728" w:rsidR="008A626C" w:rsidRDefault="008A626C" w:rsidP="008A626C">
      <w:pPr>
        <w:jc w:val="center"/>
        <w:rPr>
          <w:rFonts w:cstheme="minorHAnsi"/>
          <w:sz w:val="24"/>
          <w:szCs w:val="24"/>
        </w:rPr>
      </w:pPr>
      <w:r>
        <w:rPr>
          <w:rFonts w:cstheme="minorHAnsi"/>
          <w:noProof/>
          <w:sz w:val="24"/>
          <w:szCs w:val="24"/>
        </w:rPr>
        <w:drawing>
          <wp:inline distT="0" distB="0" distL="0" distR="0" wp14:anchorId="01D8B7FB" wp14:editId="66716C99">
            <wp:extent cx="4315968" cy="3136392"/>
            <wp:effectExtent l="0" t="0" r="889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15968" cy="3136392"/>
                    </a:xfrm>
                    <a:prstGeom prst="rect">
                      <a:avLst/>
                    </a:prstGeom>
                    <a:noFill/>
                  </pic:spPr>
                </pic:pic>
              </a:graphicData>
            </a:graphic>
          </wp:inline>
        </w:drawing>
      </w:r>
    </w:p>
    <w:p w14:paraId="317BC058" w14:textId="2694D709" w:rsidR="008A626C" w:rsidRDefault="008A626C" w:rsidP="00187091">
      <w:pPr>
        <w:rPr>
          <w:rFonts w:cstheme="minorHAnsi"/>
          <w:sz w:val="24"/>
          <w:szCs w:val="24"/>
        </w:rPr>
      </w:pPr>
      <w:r>
        <w:rPr>
          <w:rFonts w:cstheme="minorHAnsi"/>
          <w:sz w:val="24"/>
          <w:szCs w:val="24"/>
        </w:rPr>
        <w:t xml:space="preserve">Figure 5. </w:t>
      </w:r>
      <w:r w:rsidR="00E97E3D">
        <w:rPr>
          <w:rFonts w:cstheme="minorHAnsi"/>
          <w:sz w:val="24"/>
          <w:szCs w:val="24"/>
        </w:rPr>
        <w:t>A century of f</w:t>
      </w:r>
      <w:r>
        <w:rPr>
          <w:rFonts w:cstheme="minorHAnsi"/>
          <w:sz w:val="24"/>
          <w:szCs w:val="24"/>
        </w:rPr>
        <w:t>iscal balance and inflation, Q1 1914 to Q1 2021</w:t>
      </w:r>
    </w:p>
    <w:p w14:paraId="5993B808" w14:textId="556B8177" w:rsidR="002D427D" w:rsidRPr="002D427D" w:rsidRDefault="002D427D" w:rsidP="002D427D">
      <w:pPr>
        <w:spacing w:after="0" w:line="240" w:lineRule="auto"/>
        <w:rPr>
          <w:rFonts w:cstheme="minorHAnsi"/>
          <w:sz w:val="24"/>
          <w:szCs w:val="24"/>
        </w:rPr>
      </w:pPr>
      <w:r w:rsidRPr="002D427D">
        <w:rPr>
          <w:rFonts w:cstheme="minorHAnsi"/>
          <w:sz w:val="24"/>
          <w:szCs w:val="24"/>
        </w:rPr>
        <w:lastRenderedPageBreak/>
        <w:t>Source</w:t>
      </w:r>
      <w:r>
        <w:rPr>
          <w:rFonts w:cstheme="minorHAnsi"/>
          <w:sz w:val="24"/>
          <w:szCs w:val="24"/>
        </w:rPr>
        <w:t>s</w:t>
      </w:r>
      <w:r w:rsidRPr="002D427D">
        <w:rPr>
          <w:rFonts w:cstheme="minorHAnsi"/>
          <w:sz w:val="24"/>
          <w:szCs w:val="24"/>
        </w:rPr>
        <w:t xml:space="preserve">: See Figure </w:t>
      </w:r>
      <w:r w:rsidR="003444BD">
        <w:rPr>
          <w:rFonts w:cstheme="minorHAnsi"/>
          <w:sz w:val="24"/>
          <w:szCs w:val="24"/>
        </w:rPr>
        <w:t>3</w:t>
      </w:r>
      <w:r w:rsidRPr="002D427D">
        <w:rPr>
          <w:rFonts w:cstheme="minorHAnsi"/>
          <w:sz w:val="24"/>
          <w:szCs w:val="24"/>
        </w:rPr>
        <w:t xml:space="preserve"> and Bureau of Labor Statistics.</w:t>
      </w:r>
    </w:p>
    <w:p w14:paraId="4D826BF7" w14:textId="262467C8" w:rsidR="002D427D" w:rsidRPr="00CA4DA0" w:rsidRDefault="002D427D" w:rsidP="00187091">
      <w:pPr>
        <w:rPr>
          <w:rFonts w:cstheme="minorHAnsi"/>
          <w:sz w:val="24"/>
          <w:szCs w:val="24"/>
        </w:rPr>
      </w:pPr>
    </w:p>
    <w:p w14:paraId="51222AA5" w14:textId="7A5842D3" w:rsidR="003804C3" w:rsidRPr="00CA4DA0" w:rsidRDefault="003804C3" w:rsidP="003804C3">
      <w:pPr>
        <w:jc w:val="center"/>
        <w:rPr>
          <w:rFonts w:cstheme="minorHAnsi"/>
          <w:sz w:val="24"/>
          <w:szCs w:val="24"/>
        </w:rPr>
      </w:pPr>
    </w:p>
    <w:tbl>
      <w:tblPr>
        <w:tblW w:w="0" w:type="auto"/>
        <w:tblLook w:val="04A0" w:firstRow="1" w:lastRow="0" w:firstColumn="1" w:lastColumn="0" w:noHBand="0" w:noVBand="1"/>
      </w:tblPr>
      <w:tblGrid>
        <w:gridCol w:w="3080"/>
        <w:gridCol w:w="643"/>
        <w:gridCol w:w="643"/>
        <w:gridCol w:w="643"/>
        <w:gridCol w:w="644"/>
        <w:gridCol w:w="643"/>
        <w:gridCol w:w="643"/>
        <w:gridCol w:w="643"/>
        <w:gridCol w:w="644"/>
        <w:gridCol w:w="691"/>
        <w:gridCol w:w="18"/>
      </w:tblGrid>
      <w:tr w:rsidR="00297D7D" w:rsidRPr="00CA4DA0" w14:paraId="1733FFBC" w14:textId="77777777" w:rsidTr="002F46E9">
        <w:trPr>
          <w:trHeight w:val="320"/>
        </w:trPr>
        <w:tc>
          <w:tcPr>
            <w:tcW w:w="3080" w:type="dxa"/>
            <w:tcBorders>
              <w:top w:val="nil"/>
              <w:left w:val="nil"/>
              <w:bottom w:val="nil"/>
              <w:right w:val="nil"/>
            </w:tcBorders>
            <w:shd w:val="clear" w:color="auto" w:fill="auto"/>
            <w:noWrap/>
            <w:vAlign w:val="bottom"/>
            <w:hideMark/>
          </w:tcPr>
          <w:p w14:paraId="09F8B5F6" w14:textId="77777777" w:rsidR="00A21436" w:rsidRPr="00CA4DA0" w:rsidRDefault="00A21436" w:rsidP="00A21436">
            <w:pPr>
              <w:spacing w:after="0" w:line="240" w:lineRule="auto"/>
              <w:rPr>
                <w:rFonts w:eastAsia="Times New Roman" w:cstheme="minorHAnsi"/>
                <w:sz w:val="24"/>
                <w:szCs w:val="24"/>
              </w:rPr>
            </w:pPr>
          </w:p>
        </w:tc>
        <w:tc>
          <w:tcPr>
            <w:tcW w:w="2573" w:type="dxa"/>
            <w:gridSpan w:val="4"/>
            <w:tcBorders>
              <w:top w:val="single" w:sz="8" w:space="0" w:color="FFFFFF"/>
              <w:left w:val="single" w:sz="8" w:space="0" w:color="FFFFFF"/>
              <w:bottom w:val="single" w:sz="8" w:space="0" w:color="FFFFFF"/>
              <w:right w:val="nil"/>
            </w:tcBorders>
            <w:shd w:val="clear" w:color="000000" w:fill="003366"/>
            <w:noWrap/>
            <w:vAlign w:val="center"/>
            <w:hideMark/>
          </w:tcPr>
          <w:p w14:paraId="25694A0D" w14:textId="77777777" w:rsidR="00A21436" w:rsidRPr="00CA4DA0" w:rsidRDefault="00A21436" w:rsidP="00A21436">
            <w:pPr>
              <w:spacing w:after="0" w:line="240" w:lineRule="auto"/>
              <w:jc w:val="center"/>
              <w:rPr>
                <w:rFonts w:eastAsia="Times New Roman" w:cstheme="minorHAnsi"/>
                <w:b/>
                <w:bCs/>
                <w:sz w:val="24"/>
                <w:szCs w:val="24"/>
              </w:rPr>
            </w:pPr>
            <w:r w:rsidRPr="00CA4DA0">
              <w:rPr>
                <w:rFonts w:eastAsia="Times New Roman" w:cstheme="minorHAnsi"/>
                <w:b/>
                <w:bCs/>
                <w:sz w:val="24"/>
                <w:szCs w:val="24"/>
              </w:rPr>
              <w:t>2019</w:t>
            </w:r>
          </w:p>
        </w:tc>
        <w:tc>
          <w:tcPr>
            <w:tcW w:w="2573" w:type="dxa"/>
            <w:gridSpan w:val="4"/>
            <w:tcBorders>
              <w:top w:val="single" w:sz="4" w:space="0" w:color="FFFFFF"/>
              <w:left w:val="single" w:sz="4" w:space="0" w:color="FFFFFF"/>
              <w:bottom w:val="single" w:sz="4" w:space="0" w:color="FFFFFF"/>
              <w:right w:val="single" w:sz="4" w:space="0" w:color="FFFFFF"/>
            </w:tcBorders>
            <w:shd w:val="clear" w:color="808080" w:fill="003366"/>
            <w:noWrap/>
            <w:vAlign w:val="bottom"/>
            <w:hideMark/>
          </w:tcPr>
          <w:p w14:paraId="534AAA97" w14:textId="77777777" w:rsidR="00A21436" w:rsidRPr="00CA4DA0" w:rsidRDefault="00A21436" w:rsidP="00A21436">
            <w:pPr>
              <w:spacing w:after="0" w:line="240" w:lineRule="auto"/>
              <w:jc w:val="center"/>
              <w:rPr>
                <w:rFonts w:eastAsia="Times New Roman" w:cstheme="minorHAnsi"/>
                <w:b/>
                <w:bCs/>
                <w:sz w:val="24"/>
                <w:szCs w:val="24"/>
              </w:rPr>
            </w:pPr>
            <w:r w:rsidRPr="00CA4DA0">
              <w:rPr>
                <w:rFonts w:eastAsia="Times New Roman" w:cstheme="minorHAnsi"/>
                <w:b/>
                <w:bCs/>
                <w:sz w:val="24"/>
                <w:szCs w:val="24"/>
              </w:rPr>
              <w:t>2020</w:t>
            </w:r>
          </w:p>
        </w:tc>
        <w:tc>
          <w:tcPr>
            <w:tcW w:w="662" w:type="dxa"/>
            <w:gridSpan w:val="2"/>
            <w:tcBorders>
              <w:top w:val="single" w:sz="4" w:space="0" w:color="FFFFFF"/>
              <w:left w:val="nil"/>
              <w:bottom w:val="single" w:sz="4" w:space="0" w:color="FFFFFF"/>
              <w:right w:val="single" w:sz="4" w:space="0" w:color="FFFFFF"/>
            </w:tcBorders>
            <w:shd w:val="clear" w:color="808080" w:fill="003366"/>
            <w:noWrap/>
            <w:vAlign w:val="bottom"/>
            <w:hideMark/>
          </w:tcPr>
          <w:p w14:paraId="727F42D6" w14:textId="77777777" w:rsidR="00A21436" w:rsidRPr="00CA4DA0" w:rsidRDefault="00A21436" w:rsidP="00A21436">
            <w:pPr>
              <w:spacing w:after="0" w:line="240" w:lineRule="auto"/>
              <w:jc w:val="center"/>
              <w:rPr>
                <w:rFonts w:eastAsia="Times New Roman" w:cstheme="minorHAnsi"/>
                <w:b/>
                <w:bCs/>
                <w:sz w:val="24"/>
                <w:szCs w:val="24"/>
              </w:rPr>
            </w:pPr>
            <w:r w:rsidRPr="00CA4DA0">
              <w:rPr>
                <w:rFonts w:eastAsia="Times New Roman" w:cstheme="minorHAnsi"/>
                <w:b/>
                <w:bCs/>
                <w:sz w:val="24"/>
                <w:szCs w:val="24"/>
              </w:rPr>
              <w:t>2021</w:t>
            </w:r>
          </w:p>
        </w:tc>
      </w:tr>
      <w:tr w:rsidR="00297D7D" w:rsidRPr="00CA4DA0" w14:paraId="57BB1F98" w14:textId="77777777" w:rsidTr="002F46E9">
        <w:trPr>
          <w:gridAfter w:val="1"/>
          <w:wAfter w:w="18" w:type="dxa"/>
          <w:trHeight w:val="310"/>
        </w:trPr>
        <w:tc>
          <w:tcPr>
            <w:tcW w:w="3080" w:type="dxa"/>
            <w:tcBorders>
              <w:top w:val="nil"/>
              <w:left w:val="nil"/>
              <w:bottom w:val="nil"/>
              <w:right w:val="nil"/>
            </w:tcBorders>
            <w:shd w:val="clear" w:color="auto" w:fill="auto"/>
            <w:noWrap/>
            <w:vAlign w:val="center"/>
            <w:hideMark/>
          </w:tcPr>
          <w:p w14:paraId="40E689AB" w14:textId="77777777" w:rsidR="00A21436" w:rsidRPr="00CA4DA0" w:rsidRDefault="00A21436" w:rsidP="00A21436">
            <w:pPr>
              <w:spacing w:after="0" w:line="240" w:lineRule="auto"/>
              <w:rPr>
                <w:rFonts w:eastAsia="Times New Roman" w:cstheme="minorHAnsi"/>
                <w:sz w:val="24"/>
                <w:szCs w:val="24"/>
              </w:rPr>
            </w:pPr>
            <w:r w:rsidRPr="00CA4DA0">
              <w:rPr>
                <w:rFonts w:eastAsia="Times New Roman" w:cstheme="minorHAnsi"/>
                <w:sz w:val="24"/>
                <w:szCs w:val="24"/>
              </w:rPr>
              <w:t>(Percent)</w:t>
            </w:r>
          </w:p>
        </w:tc>
        <w:tc>
          <w:tcPr>
            <w:tcW w:w="643" w:type="dxa"/>
            <w:tcBorders>
              <w:top w:val="nil"/>
              <w:left w:val="single" w:sz="8" w:space="0" w:color="FFFFFF"/>
              <w:bottom w:val="nil"/>
              <w:right w:val="single" w:sz="8" w:space="0" w:color="FFFFFF"/>
            </w:tcBorders>
            <w:shd w:val="clear" w:color="000000" w:fill="003366"/>
            <w:noWrap/>
            <w:vAlign w:val="center"/>
            <w:hideMark/>
          </w:tcPr>
          <w:p w14:paraId="673C2BB4" w14:textId="77777777" w:rsidR="00A21436" w:rsidRPr="00CA4DA0" w:rsidRDefault="00A21436" w:rsidP="00A21436">
            <w:pPr>
              <w:spacing w:after="0" w:line="240" w:lineRule="auto"/>
              <w:jc w:val="center"/>
              <w:rPr>
                <w:rFonts w:eastAsia="Times New Roman" w:cstheme="minorHAnsi"/>
                <w:b/>
                <w:bCs/>
                <w:sz w:val="24"/>
                <w:szCs w:val="24"/>
              </w:rPr>
            </w:pPr>
            <w:r w:rsidRPr="00CA4DA0">
              <w:rPr>
                <w:rFonts w:eastAsia="Times New Roman" w:cstheme="minorHAnsi"/>
                <w:b/>
                <w:bCs/>
                <w:sz w:val="24"/>
                <w:szCs w:val="24"/>
              </w:rPr>
              <w:t>Q1</w:t>
            </w:r>
          </w:p>
        </w:tc>
        <w:tc>
          <w:tcPr>
            <w:tcW w:w="643" w:type="dxa"/>
            <w:tcBorders>
              <w:top w:val="nil"/>
              <w:left w:val="nil"/>
              <w:bottom w:val="nil"/>
              <w:right w:val="single" w:sz="8" w:space="0" w:color="FFFFFF"/>
            </w:tcBorders>
            <w:shd w:val="clear" w:color="000000" w:fill="003366"/>
            <w:noWrap/>
            <w:vAlign w:val="center"/>
            <w:hideMark/>
          </w:tcPr>
          <w:p w14:paraId="0A657648" w14:textId="77777777" w:rsidR="00A21436" w:rsidRPr="00CA4DA0" w:rsidRDefault="00A21436" w:rsidP="00A21436">
            <w:pPr>
              <w:spacing w:after="0" w:line="240" w:lineRule="auto"/>
              <w:jc w:val="center"/>
              <w:rPr>
                <w:rFonts w:eastAsia="Times New Roman" w:cstheme="minorHAnsi"/>
                <w:b/>
                <w:bCs/>
                <w:sz w:val="24"/>
                <w:szCs w:val="24"/>
              </w:rPr>
            </w:pPr>
            <w:r w:rsidRPr="00CA4DA0">
              <w:rPr>
                <w:rFonts w:eastAsia="Times New Roman" w:cstheme="minorHAnsi"/>
                <w:b/>
                <w:bCs/>
                <w:sz w:val="24"/>
                <w:szCs w:val="24"/>
              </w:rPr>
              <w:t>Q2</w:t>
            </w:r>
          </w:p>
        </w:tc>
        <w:tc>
          <w:tcPr>
            <w:tcW w:w="643" w:type="dxa"/>
            <w:tcBorders>
              <w:top w:val="nil"/>
              <w:left w:val="nil"/>
              <w:bottom w:val="nil"/>
              <w:right w:val="single" w:sz="8" w:space="0" w:color="FFFFFF"/>
            </w:tcBorders>
            <w:shd w:val="clear" w:color="000000" w:fill="003366"/>
            <w:noWrap/>
            <w:vAlign w:val="center"/>
            <w:hideMark/>
          </w:tcPr>
          <w:p w14:paraId="71774C1F" w14:textId="77777777" w:rsidR="00A21436" w:rsidRPr="00CA4DA0" w:rsidRDefault="00A21436" w:rsidP="00A21436">
            <w:pPr>
              <w:spacing w:after="0" w:line="240" w:lineRule="auto"/>
              <w:jc w:val="center"/>
              <w:rPr>
                <w:rFonts w:eastAsia="Times New Roman" w:cstheme="minorHAnsi"/>
                <w:b/>
                <w:bCs/>
                <w:sz w:val="24"/>
                <w:szCs w:val="24"/>
              </w:rPr>
            </w:pPr>
            <w:r w:rsidRPr="00CA4DA0">
              <w:rPr>
                <w:rFonts w:eastAsia="Times New Roman" w:cstheme="minorHAnsi"/>
                <w:b/>
                <w:bCs/>
                <w:sz w:val="24"/>
                <w:szCs w:val="24"/>
              </w:rPr>
              <w:t>Q3</w:t>
            </w:r>
          </w:p>
        </w:tc>
        <w:tc>
          <w:tcPr>
            <w:tcW w:w="644" w:type="dxa"/>
            <w:tcBorders>
              <w:top w:val="nil"/>
              <w:left w:val="nil"/>
              <w:bottom w:val="nil"/>
              <w:right w:val="single" w:sz="8" w:space="0" w:color="FFFFFF"/>
            </w:tcBorders>
            <w:shd w:val="clear" w:color="000000" w:fill="003366"/>
            <w:noWrap/>
            <w:vAlign w:val="center"/>
            <w:hideMark/>
          </w:tcPr>
          <w:p w14:paraId="08B0224C" w14:textId="77777777" w:rsidR="00A21436" w:rsidRPr="00CA4DA0" w:rsidRDefault="00A21436" w:rsidP="00A21436">
            <w:pPr>
              <w:spacing w:after="0" w:line="240" w:lineRule="auto"/>
              <w:jc w:val="center"/>
              <w:rPr>
                <w:rFonts w:eastAsia="Times New Roman" w:cstheme="minorHAnsi"/>
                <w:b/>
                <w:bCs/>
                <w:sz w:val="24"/>
                <w:szCs w:val="24"/>
              </w:rPr>
            </w:pPr>
            <w:r w:rsidRPr="00CA4DA0">
              <w:rPr>
                <w:rFonts w:eastAsia="Times New Roman" w:cstheme="minorHAnsi"/>
                <w:b/>
                <w:bCs/>
                <w:sz w:val="24"/>
                <w:szCs w:val="24"/>
              </w:rPr>
              <w:t>Q4</w:t>
            </w:r>
          </w:p>
        </w:tc>
        <w:tc>
          <w:tcPr>
            <w:tcW w:w="643" w:type="dxa"/>
            <w:tcBorders>
              <w:top w:val="nil"/>
              <w:left w:val="single" w:sz="4" w:space="0" w:color="FFFFFF"/>
              <w:bottom w:val="nil"/>
              <w:right w:val="single" w:sz="4" w:space="0" w:color="FFFFFF"/>
            </w:tcBorders>
            <w:shd w:val="clear" w:color="808080" w:fill="003366"/>
            <w:noWrap/>
            <w:vAlign w:val="bottom"/>
            <w:hideMark/>
          </w:tcPr>
          <w:p w14:paraId="682079C6" w14:textId="77777777" w:rsidR="00A21436" w:rsidRPr="00CA4DA0" w:rsidRDefault="00A21436" w:rsidP="00A21436">
            <w:pPr>
              <w:spacing w:after="0" w:line="240" w:lineRule="auto"/>
              <w:jc w:val="center"/>
              <w:rPr>
                <w:rFonts w:eastAsia="Times New Roman" w:cstheme="minorHAnsi"/>
                <w:b/>
                <w:bCs/>
                <w:sz w:val="24"/>
                <w:szCs w:val="24"/>
              </w:rPr>
            </w:pPr>
            <w:r w:rsidRPr="00CA4DA0">
              <w:rPr>
                <w:rFonts w:eastAsia="Times New Roman" w:cstheme="minorHAnsi"/>
                <w:b/>
                <w:bCs/>
                <w:sz w:val="24"/>
                <w:szCs w:val="24"/>
              </w:rPr>
              <w:t>Q1</w:t>
            </w:r>
          </w:p>
        </w:tc>
        <w:tc>
          <w:tcPr>
            <w:tcW w:w="643" w:type="dxa"/>
            <w:tcBorders>
              <w:top w:val="nil"/>
              <w:left w:val="nil"/>
              <w:bottom w:val="nil"/>
              <w:right w:val="single" w:sz="4" w:space="0" w:color="FFFFFF"/>
            </w:tcBorders>
            <w:shd w:val="clear" w:color="808080" w:fill="003366"/>
            <w:noWrap/>
            <w:vAlign w:val="bottom"/>
            <w:hideMark/>
          </w:tcPr>
          <w:p w14:paraId="40EC9BAA" w14:textId="77777777" w:rsidR="00A21436" w:rsidRPr="00CA4DA0" w:rsidRDefault="00A21436" w:rsidP="00A21436">
            <w:pPr>
              <w:spacing w:after="0" w:line="240" w:lineRule="auto"/>
              <w:jc w:val="center"/>
              <w:rPr>
                <w:rFonts w:eastAsia="Times New Roman" w:cstheme="minorHAnsi"/>
                <w:b/>
                <w:bCs/>
                <w:sz w:val="24"/>
                <w:szCs w:val="24"/>
              </w:rPr>
            </w:pPr>
            <w:r w:rsidRPr="00CA4DA0">
              <w:rPr>
                <w:rFonts w:eastAsia="Times New Roman" w:cstheme="minorHAnsi"/>
                <w:b/>
                <w:bCs/>
                <w:sz w:val="24"/>
                <w:szCs w:val="24"/>
              </w:rPr>
              <w:t>Q2</w:t>
            </w:r>
          </w:p>
        </w:tc>
        <w:tc>
          <w:tcPr>
            <w:tcW w:w="643" w:type="dxa"/>
            <w:tcBorders>
              <w:top w:val="nil"/>
              <w:left w:val="nil"/>
              <w:bottom w:val="nil"/>
              <w:right w:val="single" w:sz="4" w:space="0" w:color="FFFFFF"/>
            </w:tcBorders>
            <w:shd w:val="clear" w:color="808080" w:fill="003366"/>
            <w:noWrap/>
            <w:vAlign w:val="bottom"/>
            <w:hideMark/>
          </w:tcPr>
          <w:p w14:paraId="501C9077" w14:textId="77777777" w:rsidR="00A21436" w:rsidRPr="00CA4DA0" w:rsidRDefault="00A21436" w:rsidP="00A21436">
            <w:pPr>
              <w:spacing w:after="0" w:line="240" w:lineRule="auto"/>
              <w:jc w:val="center"/>
              <w:rPr>
                <w:rFonts w:eastAsia="Times New Roman" w:cstheme="minorHAnsi"/>
                <w:b/>
                <w:bCs/>
                <w:sz w:val="24"/>
                <w:szCs w:val="24"/>
              </w:rPr>
            </w:pPr>
            <w:r w:rsidRPr="00CA4DA0">
              <w:rPr>
                <w:rFonts w:eastAsia="Times New Roman" w:cstheme="minorHAnsi"/>
                <w:b/>
                <w:bCs/>
                <w:sz w:val="24"/>
                <w:szCs w:val="24"/>
              </w:rPr>
              <w:t>Q3</w:t>
            </w:r>
          </w:p>
        </w:tc>
        <w:tc>
          <w:tcPr>
            <w:tcW w:w="644" w:type="dxa"/>
            <w:tcBorders>
              <w:top w:val="nil"/>
              <w:left w:val="nil"/>
              <w:bottom w:val="nil"/>
              <w:right w:val="single" w:sz="4" w:space="0" w:color="FFFFFF"/>
            </w:tcBorders>
            <w:shd w:val="clear" w:color="808080" w:fill="003366"/>
            <w:noWrap/>
            <w:vAlign w:val="bottom"/>
            <w:hideMark/>
          </w:tcPr>
          <w:p w14:paraId="72DEF88C" w14:textId="77777777" w:rsidR="00A21436" w:rsidRPr="00CA4DA0" w:rsidRDefault="00A21436" w:rsidP="00A21436">
            <w:pPr>
              <w:spacing w:after="0" w:line="240" w:lineRule="auto"/>
              <w:jc w:val="center"/>
              <w:rPr>
                <w:rFonts w:eastAsia="Times New Roman" w:cstheme="minorHAnsi"/>
                <w:b/>
                <w:bCs/>
                <w:sz w:val="24"/>
                <w:szCs w:val="24"/>
              </w:rPr>
            </w:pPr>
            <w:r w:rsidRPr="00CA4DA0">
              <w:rPr>
                <w:rFonts w:eastAsia="Times New Roman" w:cstheme="minorHAnsi"/>
                <w:b/>
                <w:bCs/>
                <w:sz w:val="24"/>
                <w:szCs w:val="24"/>
              </w:rPr>
              <w:t>Q4</w:t>
            </w:r>
          </w:p>
        </w:tc>
        <w:tc>
          <w:tcPr>
            <w:tcW w:w="644" w:type="dxa"/>
            <w:tcBorders>
              <w:top w:val="nil"/>
              <w:left w:val="nil"/>
              <w:bottom w:val="nil"/>
              <w:right w:val="single" w:sz="4" w:space="0" w:color="FFFFFF"/>
            </w:tcBorders>
            <w:shd w:val="clear" w:color="808080" w:fill="003366"/>
            <w:noWrap/>
            <w:vAlign w:val="bottom"/>
            <w:hideMark/>
          </w:tcPr>
          <w:p w14:paraId="6EF21276" w14:textId="77777777" w:rsidR="00A21436" w:rsidRPr="00CA4DA0" w:rsidRDefault="00A21436" w:rsidP="00A21436">
            <w:pPr>
              <w:spacing w:after="0" w:line="240" w:lineRule="auto"/>
              <w:jc w:val="center"/>
              <w:rPr>
                <w:rFonts w:eastAsia="Times New Roman" w:cstheme="minorHAnsi"/>
                <w:b/>
                <w:bCs/>
                <w:sz w:val="24"/>
                <w:szCs w:val="24"/>
              </w:rPr>
            </w:pPr>
            <w:r w:rsidRPr="00CA4DA0">
              <w:rPr>
                <w:rFonts w:eastAsia="Times New Roman" w:cstheme="minorHAnsi"/>
                <w:b/>
                <w:bCs/>
                <w:sz w:val="24"/>
                <w:szCs w:val="24"/>
              </w:rPr>
              <w:t>Q1</w:t>
            </w:r>
          </w:p>
        </w:tc>
      </w:tr>
      <w:tr w:rsidR="00297D7D" w:rsidRPr="00CA4DA0" w14:paraId="0AA7A217" w14:textId="77777777" w:rsidTr="002F46E9">
        <w:trPr>
          <w:gridAfter w:val="1"/>
          <w:wAfter w:w="18" w:type="dxa"/>
          <w:trHeight w:val="310"/>
        </w:trPr>
        <w:tc>
          <w:tcPr>
            <w:tcW w:w="3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B7E542" w14:textId="5DBB0D88" w:rsidR="00A21436" w:rsidRPr="00CA4DA0" w:rsidRDefault="001669A8" w:rsidP="001669A8">
            <w:pPr>
              <w:spacing w:after="0" w:line="240" w:lineRule="auto"/>
              <w:rPr>
                <w:rFonts w:eastAsia="Times New Roman" w:cstheme="minorHAnsi"/>
                <w:sz w:val="24"/>
                <w:szCs w:val="24"/>
              </w:rPr>
            </w:pPr>
            <w:r w:rsidRPr="00CA4DA0">
              <w:rPr>
                <w:rFonts w:eastAsia="Times New Roman" w:cstheme="minorHAnsi"/>
                <w:sz w:val="24"/>
                <w:szCs w:val="24"/>
              </w:rPr>
              <w:t>Annual r</w:t>
            </w:r>
            <w:r w:rsidR="00A21436" w:rsidRPr="00CA4DA0">
              <w:rPr>
                <w:rFonts w:eastAsia="Times New Roman" w:cstheme="minorHAnsi"/>
                <w:sz w:val="24"/>
                <w:szCs w:val="24"/>
              </w:rPr>
              <w:t>eal GDP growth</w:t>
            </w:r>
          </w:p>
        </w:tc>
        <w:tc>
          <w:tcPr>
            <w:tcW w:w="643" w:type="dxa"/>
            <w:tcBorders>
              <w:top w:val="single" w:sz="4" w:space="0" w:color="auto"/>
              <w:left w:val="nil"/>
              <w:bottom w:val="single" w:sz="4" w:space="0" w:color="auto"/>
              <w:right w:val="single" w:sz="4" w:space="0" w:color="auto"/>
            </w:tcBorders>
            <w:shd w:val="clear" w:color="auto" w:fill="auto"/>
            <w:noWrap/>
            <w:vAlign w:val="center"/>
            <w:hideMark/>
          </w:tcPr>
          <w:p w14:paraId="69E2E30D"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2.3</w:t>
            </w:r>
          </w:p>
        </w:tc>
        <w:tc>
          <w:tcPr>
            <w:tcW w:w="643" w:type="dxa"/>
            <w:tcBorders>
              <w:top w:val="single" w:sz="4" w:space="0" w:color="auto"/>
              <w:left w:val="nil"/>
              <w:bottom w:val="single" w:sz="4" w:space="0" w:color="auto"/>
              <w:right w:val="single" w:sz="4" w:space="0" w:color="auto"/>
            </w:tcBorders>
            <w:shd w:val="clear" w:color="auto" w:fill="auto"/>
            <w:noWrap/>
            <w:vAlign w:val="center"/>
            <w:hideMark/>
          </w:tcPr>
          <w:p w14:paraId="402D4DE7"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2</w:t>
            </w:r>
          </w:p>
        </w:tc>
        <w:tc>
          <w:tcPr>
            <w:tcW w:w="643" w:type="dxa"/>
            <w:tcBorders>
              <w:top w:val="single" w:sz="4" w:space="0" w:color="auto"/>
              <w:left w:val="nil"/>
              <w:bottom w:val="single" w:sz="4" w:space="0" w:color="auto"/>
              <w:right w:val="single" w:sz="4" w:space="0" w:color="auto"/>
            </w:tcBorders>
            <w:shd w:val="clear" w:color="auto" w:fill="auto"/>
            <w:noWrap/>
            <w:vAlign w:val="center"/>
            <w:hideMark/>
          </w:tcPr>
          <w:p w14:paraId="25126B24"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2.1</w:t>
            </w:r>
          </w:p>
        </w:tc>
        <w:tc>
          <w:tcPr>
            <w:tcW w:w="644" w:type="dxa"/>
            <w:tcBorders>
              <w:top w:val="single" w:sz="4" w:space="0" w:color="auto"/>
              <w:left w:val="nil"/>
              <w:bottom w:val="single" w:sz="4" w:space="0" w:color="auto"/>
              <w:right w:val="single" w:sz="4" w:space="0" w:color="auto"/>
            </w:tcBorders>
            <w:shd w:val="clear" w:color="auto" w:fill="auto"/>
            <w:noWrap/>
            <w:vAlign w:val="center"/>
            <w:hideMark/>
          </w:tcPr>
          <w:p w14:paraId="4EA4FDD9"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2.3</w:t>
            </w:r>
          </w:p>
        </w:tc>
        <w:tc>
          <w:tcPr>
            <w:tcW w:w="643" w:type="dxa"/>
            <w:tcBorders>
              <w:top w:val="single" w:sz="4" w:space="0" w:color="auto"/>
              <w:left w:val="nil"/>
              <w:bottom w:val="single" w:sz="4" w:space="0" w:color="auto"/>
              <w:right w:val="single" w:sz="4" w:space="0" w:color="auto"/>
            </w:tcBorders>
            <w:shd w:val="clear" w:color="auto" w:fill="auto"/>
            <w:noWrap/>
            <w:vAlign w:val="center"/>
            <w:hideMark/>
          </w:tcPr>
          <w:p w14:paraId="2AAB4965"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0.3</w:t>
            </w:r>
          </w:p>
        </w:tc>
        <w:tc>
          <w:tcPr>
            <w:tcW w:w="643" w:type="dxa"/>
            <w:tcBorders>
              <w:top w:val="single" w:sz="4" w:space="0" w:color="auto"/>
              <w:left w:val="nil"/>
              <w:bottom w:val="single" w:sz="4" w:space="0" w:color="auto"/>
              <w:right w:val="single" w:sz="4" w:space="0" w:color="auto"/>
            </w:tcBorders>
            <w:shd w:val="clear" w:color="auto" w:fill="auto"/>
            <w:noWrap/>
            <w:vAlign w:val="center"/>
            <w:hideMark/>
          </w:tcPr>
          <w:p w14:paraId="082B802F"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-9.0</w:t>
            </w:r>
          </w:p>
        </w:tc>
        <w:tc>
          <w:tcPr>
            <w:tcW w:w="643" w:type="dxa"/>
            <w:tcBorders>
              <w:top w:val="single" w:sz="4" w:space="0" w:color="auto"/>
              <w:left w:val="nil"/>
              <w:bottom w:val="single" w:sz="4" w:space="0" w:color="auto"/>
              <w:right w:val="single" w:sz="4" w:space="0" w:color="auto"/>
            </w:tcBorders>
            <w:shd w:val="clear" w:color="auto" w:fill="auto"/>
            <w:noWrap/>
            <w:vAlign w:val="center"/>
            <w:hideMark/>
          </w:tcPr>
          <w:p w14:paraId="07E15269"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-2.8</w:t>
            </w:r>
          </w:p>
        </w:tc>
        <w:tc>
          <w:tcPr>
            <w:tcW w:w="644" w:type="dxa"/>
            <w:tcBorders>
              <w:top w:val="single" w:sz="4" w:space="0" w:color="auto"/>
              <w:left w:val="nil"/>
              <w:bottom w:val="single" w:sz="4" w:space="0" w:color="auto"/>
              <w:right w:val="single" w:sz="4" w:space="0" w:color="auto"/>
            </w:tcBorders>
            <w:shd w:val="clear" w:color="auto" w:fill="auto"/>
            <w:noWrap/>
            <w:vAlign w:val="center"/>
            <w:hideMark/>
          </w:tcPr>
          <w:p w14:paraId="6A23369F"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-2.4</w:t>
            </w:r>
          </w:p>
        </w:tc>
        <w:tc>
          <w:tcPr>
            <w:tcW w:w="644" w:type="dxa"/>
            <w:tcBorders>
              <w:top w:val="single" w:sz="4" w:space="0" w:color="auto"/>
              <w:left w:val="nil"/>
              <w:bottom w:val="single" w:sz="4" w:space="0" w:color="auto"/>
              <w:right w:val="single" w:sz="4" w:space="0" w:color="auto"/>
            </w:tcBorders>
            <w:shd w:val="clear" w:color="auto" w:fill="auto"/>
            <w:noWrap/>
            <w:vAlign w:val="center"/>
            <w:hideMark/>
          </w:tcPr>
          <w:p w14:paraId="63F35F9B"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0.4</w:t>
            </w:r>
          </w:p>
        </w:tc>
      </w:tr>
      <w:tr w:rsidR="00297D7D" w:rsidRPr="00CA4DA0" w14:paraId="39E2D589" w14:textId="77777777" w:rsidTr="002F46E9">
        <w:trPr>
          <w:gridAfter w:val="1"/>
          <w:wAfter w:w="18" w:type="dxa"/>
          <w:trHeight w:val="310"/>
        </w:trPr>
        <w:tc>
          <w:tcPr>
            <w:tcW w:w="3080" w:type="dxa"/>
            <w:tcBorders>
              <w:top w:val="nil"/>
              <w:left w:val="single" w:sz="4" w:space="0" w:color="auto"/>
              <w:bottom w:val="single" w:sz="4" w:space="0" w:color="auto"/>
              <w:right w:val="single" w:sz="4" w:space="0" w:color="auto"/>
            </w:tcBorders>
            <w:shd w:val="clear" w:color="auto" w:fill="auto"/>
            <w:noWrap/>
            <w:vAlign w:val="center"/>
            <w:hideMark/>
          </w:tcPr>
          <w:p w14:paraId="5C020B98" w14:textId="77777777" w:rsidR="00A21436" w:rsidRPr="00CA4DA0" w:rsidRDefault="00A21436" w:rsidP="00A21436">
            <w:pPr>
              <w:spacing w:after="0" w:line="240" w:lineRule="auto"/>
              <w:rPr>
                <w:rFonts w:eastAsia="Times New Roman" w:cstheme="minorHAnsi"/>
                <w:sz w:val="24"/>
                <w:szCs w:val="24"/>
              </w:rPr>
            </w:pPr>
            <w:r w:rsidRPr="00CA4DA0">
              <w:rPr>
                <w:rFonts w:eastAsia="Times New Roman" w:cstheme="minorHAnsi"/>
                <w:sz w:val="24"/>
                <w:szCs w:val="24"/>
              </w:rPr>
              <w:t>Core CPI inflation</w:t>
            </w:r>
          </w:p>
        </w:tc>
        <w:tc>
          <w:tcPr>
            <w:tcW w:w="643" w:type="dxa"/>
            <w:tcBorders>
              <w:top w:val="nil"/>
              <w:left w:val="nil"/>
              <w:bottom w:val="single" w:sz="4" w:space="0" w:color="auto"/>
              <w:right w:val="single" w:sz="4" w:space="0" w:color="auto"/>
            </w:tcBorders>
            <w:shd w:val="clear" w:color="auto" w:fill="auto"/>
            <w:noWrap/>
            <w:vAlign w:val="center"/>
            <w:hideMark/>
          </w:tcPr>
          <w:p w14:paraId="5583ABBF"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2.1</w:t>
            </w:r>
          </w:p>
        </w:tc>
        <w:tc>
          <w:tcPr>
            <w:tcW w:w="643" w:type="dxa"/>
            <w:tcBorders>
              <w:top w:val="nil"/>
              <w:left w:val="nil"/>
              <w:bottom w:val="single" w:sz="4" w:space="0" w:color="auto"/>
              <w:right w:val="single" w:sz="4" w:space="0" w:color="auto"/>
            </w:tcBorders>
            <w:shd w:val="clear" w:color="auto" w:fill="auto"/>
            <w:noWrap/>
            <w:vAlign w:val="center"/>
            <w:hideMark/>
          </w:tcPr>
          <w:p w14:paraId="37609CF2"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2.1</w:t>
            </w:r>
          </w:p>
        </w:tc>
        <w:tc>
          <w:tcPr>
            <w:tcW w:w="643" w:type="dxa"/>
            <w:tcBorders>
              <w:top w:val="nil"/>
              <w:left w:val="nil"/>
              <w:bottom w:val="single" w:sz="4" w:space="0" w:color="auto"/>
              <w:right w:val="single" w:sz="4" w:space="0" w:color="auto"/>
            </w:tcBorders>
            <w:shd w:val="clear" w:color="auto" w:fill="auto"/>
            <w:noWrap/>
            <w:vAlign w:val="center"/>
            <w:hideMark/>
          </w:tcPr>
          <w:p w14:paraId="1071D299"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2.3</w:t>
            </w:r>
          </w:p>
        </w:tc>
        <w:tc>
          <w:tcPr>
            <w:tcW w:w="644" w:type="dxa"/>
            <w:tcBorders>
              <w:top w:val="nil"/>
              <w:left w:val="nil"/>
              <w:bottom w:val="single" w:sz="4" w:space="0" w:color="auto"/>
              <w:right w:val="single" w:sz="4" w:space="0" w:color="auto"/>
            </w:tcBorders>
            <w:shd w:val="clear" w:color="auto" w:fill="auto"/>
            <w:noWrap/>
            <w:vAlign w:val="center"/>
            <w:hideMark/>
          </w:tcPr>
          <w:p w14:paraId="79A8F385"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2.3</w:t>
            </w:r>
          </w:p>
        </w:tc>
        <w:tc>
          <w:tcPr>
            <w:tcW w:w="643" w:type="dxa"/>
            <w:tcBorders>
              <w:top w:val="nil"/>
              <w:left w:val="nil"/>
              <w:bottom w:val="single" w:sz="4" w:space="0" w:color="auto"/>
              <w:right w:val="single" w:sz="4" w:space="0" w:color="auto"/>
            </w:tcBorders>
            <w:shd w:val="clear" w:color="auto" w:fill="auto"/>
            <w:noWrap/>
            <w:vAlign w:val="center"/>
            <w:hideMark/>
          </w:tcPr>
          <w:p w14:paraId="61934181"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2.3</w:t>
            </w:r>
          </w:p>
        </w:tc>
        <w:tc>
          <w:tcPr>
            <w:tcW w:w="643" w:type="dxa"/>
            <w:tcBorders>
              <w:top w:val="nil"/>
              <w:left w:val="nil"/>
              <w:bottom w:val="single" w:sz="4" w:space="0" w:color="auto"/>
              <w:right w:val="single" w:sz="4" w:space="0" w:color="auto"/>
            </w:tcBorders>
            <w:shd w:val="clear" w:color="auto" w:fill="auto"/>
            <w:noWrap/>
            <w:vAlign w:val="center"/>
            <w:hideMark/>
          </w:tcPr>
          <w:p w14:paraId="6944EC5E"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1.3</w:t>
            </w:r>
          </w:p>
        </w:tc>
        <w:tc>
          <w:tcPr>
            <w:tcW w:w="643" w:type="dxa"/>
            <w:tcBorders>
              <w:top w:val="nil"/>
              <w:left w:val="nil"/>
              <w:bottom w:val="single" w:sz="4" w:space="0" w:color="auto"/>
              <w:right w:val="single" w:sz="4" w:space="0" w:color="auto"/>
            </w:tcBorders>
            <w:shd w:val="clear" w:color="auto" w:fill="auto"/>
            <w:noWrap/>
            <w:vAlign w:val="center"/>
            <w:hideMark/>
          </w:tcPr>
          <w:p w14:paraId="142CD1AE"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1.7</w:t>
            </w:r>
          </w:p>
        </w:tc>
        <w:tc>
          <w:tcPr>
            <w:tcW w:w="644" w:type="dxa"/>
            <w:tcBorders>
              <w:top w:val="nil"/>
              <w:left w:val="nil"/>
              <w:bottom w:val="single" w:sz="4" w:space="0" w:color="auto"/>
              <w:right w:val="single" w:sz="4" w:space="0" w:color="auto"/>
            </w:tcBorders>
            <w:shd w:val="clear" w:color="auto" w:fill="auto"/>
            <w:noWrap/>
            <w:vAlign w:val="center"/>
            <w:hideMark/>
          </w:tcPr>
          <w:p w14:paraId="1674B989"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1.6</w:t>
            </w:r>
          </w:p>
        </w:tc>
        <w:tc>
          <w:tcPr>
            <w:tcW w:w="644" w:type="dxa"/>
            <w:tcBorders>
              <w:top w:val="nil"/>
              <w:left w:val="nil"/>
              <w:bottom w:val="single" w:sz="4" w:space="0" w:color="auto"/>
              <w:right w:val="single" w:sz="4" w:space="0" w:color="auto"/>
            </w:tcBorders>
            <w:shd w:val="clear" w:color="auto" w:fill="auto"/>
            <w:noWrap/>
            <w:vAlign w:val="center"/>
            <w:hideMark/>
          </w:tcPr>
          <w:p w14:paraId="16FE6E86"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1.4</w:t>
            </w:r>
          </w:p>
        </w:tc>
      </w:tr>
      <w:tr w:rsidR="00297D7D" w:rsidRPr="00CA4DA0" w14:paraId="5B53E231" w14:textId="77777777" w:rsidTr="002F46E9">
        <w:trPr>
          <w:gridAfter w:val="1"/>
          <w:wAfter w:w="18" w:type="dxa"/>
          <w:trHeight w:val="310"/>
        </w:trPr>
        <w:tc>
          <w:tcPr>
            <w:tcW w:w="3080" w:type="dxa"/>
            <w:tcBorders>
              <w:top w:val="nil"/>
              <w:left w:val="single" w:sz="4" w:space="0" w:color="auto"/>
              <w:bottom w:val="single" w:sz="4" w:space="0" w:color="auto"/>
              <w:right w:val="single" w:sz="4" w:space="0" w:color="auto"/>
            </w:tcBorders>
            <w:shd w:val="clear" w:color="auto" w:fill="auto"/>
            <w:noWrap/>
            <w:vAlign w:val="center"/>
            <w:hideMark/>
          </w:tcPr>
          <w:p w14:paraId="4E26ADDA" w14:textId="77777777" w:rsidR="00A21436" w:rsidRPr="00CA4DA0" w:rsidRDefault="00A21436" w:rsidP="00A21436">
            <w:pPr>
              <w:spacing w:after="0" w:line="240" w:lineRule="auto"/>
              <w:rPr>
                <w:rFonts w:eastAsia="Times New Roman" w:cstheme="minorHAnsi"/>
                <w:sz w:val="24"/>
                <w:szCs w:val="24"/>
              </w:rPr>
            </w:pPr>
            <w:r w:rsidRPr="00CA4DA0">
              <w:rPr>
                <w:rFonts w:eastAsia="Times New Roman" w:cstheme="minorHAnsi"/>
                <w:sz w:val="24"/>
                <w:szCs w:val="24"/>
              </w:rPr>
              <w:t>5-year inflation expectation</w:t>
            </w:r>
          </w:p>
        </w:tc>
        <w:tc>
          <w:tcPr>
            <w:tcW w:w="643" w:type="dxa"/>
            <w:tcBorders>
              <w:top w:val="nil"/>
              <w:left w:val="nil"/>
              <w:bottom w:val="single" w:sz="4" w:space="0" w:color="auto"/>
              <w:right w:val="single" w:sz="4" w:space="0" w:color="auto"/>
            </w:tcBorders>
            <w:shd w:val="clear" w:color="auto" w:fill="auto"/>
            <w:noWrap/>
            <w:vAlign w:val="center"/>
            <w:hideMark/>
          </w:tcPr>
          <w:p w14:paraId="3CE8702B"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1.8</w:t>
            </w:r>
          </w:p>
        </w:tc>
        <w:tc>
          <w:tcPr>
            <w:tcW w:w="643" w:type="dxa"/>
            <w:tcBorders>
              <w:top w:val="nil"/>
              <w:left w:val="nil"/>
              <w:bottom w:val="single" w:sz="4" w:space="0" w:color="auto"/>
              <w:right w:val="single" w:sz="4" w:space="0" w:color="auto"/>
            </w:tcBorders>
            <w:shd w:val="clear" w:color="auto" w:fill="auto"/>
            <w:noWrap/>
            <w:vAlign w:val="center"/>
            <w:hideMark/>
          </w:tcPr>
          <w:p w14:paraId="3C23F1A5"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1.7</w:t>
            </w:r>
          </w:p>
        </w:tc>
        <w:tc>
          <w:tcPr>
            <w:tcW w:w="643" w:type="dxa"/>
            <w:tcBorders>
              <w:top w:val="nil"/>
              <w:left w:val="nil"/>
              <w:bottom w:val="single" w:sz="4" w:space="0" w:color="auto"/>
              <w:right w:val="single" w:sz="4" w:space="0" w:color="auto"/>
            </w:tcBorders>
            <w:shd w:val="clear" w:color="auto" w:fill="auto"/>
            <w:noWrap/>
            <w:vAlign w:val="center"/>
            <w:hideMark/>
          </w:tcPr>
          <w:p w14:paraId="49FA207B"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1.5</w:t>
            </w:r>
          </w:p>
        </w:tc>
        <w:tc>
          <w:tcPr>
            <w:tcW w:w="644" w:type="dxa"/>
            <w:tcBorders>
              <w:top w:val="nil"/>
              <w:left w:val="nil"/>
              <w:bottom w:val="single" w:sz="4" w:space="0" w:color="auto"/>
              <w:right w:val="single" w:sz="4" w:space="0" w:color="auto"/>
            </w:tcBorders>
            <w:shd w:val="clear" w:color="auto" w:fill="auto"/>
            <w:noWrap/>
            <w:vAlign w:val="center"/>
            <w:hideMark/>
          </w:tcPr>
          <w:p w14:paraId="1BBCEAD9"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1.6</w:t>
            </w:r>
          </w:p>
        </w:tc>
        <w:tc>
          <w:tcPr>
            <w:tcW w:w="643" w:type="dxa"/>
            <w:tcBorders>
              <w:top w:val="nil"/>
              <w:left w:val="nil"/>
              <w:bottom w:val="single" w:sz="4" w:space="0" w:color="auto"/>
              <w:right w:val="single" w:sz="4" w:space="0" w:color="auto"/>
            </w:tcBorders>
            <w:shd w:val="clear" w:color="auto" w:fill="auto"/>
            <w:noWrap/>
            <w:vAlign w:val="center"/>
            <w:hideMark/>
          </w:tcPr>
          <w:p w14:paraId="398A4A58"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1.4</w:t>
            </w:r>
          </w:p>
        </w:tc>
        <w:tc>
          <w:tcPr>
            <w:tcW w:w="643" w:type="dxa"/>
            <w:tcBorders>
              <w:top w:val="nil"/>
              <w:left w:val="nil"/>
              <w:bottom w:val="single" w:sz="4" w:space="0" w:color="auto"/>
              <w:right w:val="single" w:sz="4" w:space="0" w:color="auto"/>
            </w:tcBorders>
            <w:shd w:val="clear" w:color="auto" w:fill="auto"/>
            <w:noWrap/>
            <w:vAlign w:val="center"/>
            <w:hideMark/>
          </w:tcPr>
          <w:p w14:paraId="0952DEB3"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0.9</w:t>
            </w:r>
          </w:p>
        </w:tc>
        <w:tc>
          <w:tcPr>
            <w:tcW w:w="643" w:type="dxa"/>
            <w:tcBorders>
              <w:top w:val="nil"/>
              <w:left w:val="nil"/>
              <w:bottom w:val="single" w:sz="4" w:space="0" w:color="auto"/>
              <w:right w:val="single" w:sz="4" w:space="0" w:color="auto"/>
            </w:tcBorders>
            <w:shd w:val="clear" w:color="auto" w:fill="auto"/>
            <w:noWrap/>
            <w:vAlign w:val="center"/>
            <w:hideMark/>
          </w:tcPr>
          <w:p w14:paraId="4B362C81"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1.2</w:t>
            </w:r>
          </w:p>
        </w:tc>
        <w:tc>
          <w:tcPr>
            <w:tcW w:w="644" w:type="dxa"/>
            <w:tcBorders>
              <w:top w:val="nil"/>
              <w:left w:val="nil"/>
              <w:bottom w:val="single" w:sz="4" w:space="0" w:color="auto"/>
              <w:right w:val="single" w:sz="4" w:space="0" w:color="auto"/>
            </w:tcBorders>
            <w:shd w:val="clear" w:color="auto" w:fill="auto"/>
            <w:noWrap/>
            <w:vAlign w:val="center"/>
            <w:hideMark/>
          </w:tcPr>
          <w:p w14:paraId="78562288"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1.2</w:t>
            </w:r>
          </w:p>
        </w:tc>
        <w:tc>
          <w:tcPr>
            <w:tcW w:w="644" w:type="dxa"/>
            <w:tcBorders>
              <w:top w:val="nil"/>
              <w:left w:val="nil"/>
              <w:bottom w:val="single" w:sz="4" w:space="0" w:color="auto"/>
              <w:right w:val="single" w:sz="4" w:space="0" w:color="auto"/>
            </w:tcBorders>
            <w:shd w:val="clear" w:color="auto" w:fill="auto"/>
            <w:noWrap/>
            <w:vAlign w:val="center"/>
            <w:hideMark/>
          </w:tcPr>
          <w:p w14:paraId="1B77BB29"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1.3</w:t>
            </w:r>
          </w:p>
        </w:tc>
      </w:tr>
      <w:tr w:rsidR="00297D7D" w:rsidRPr="00CA4DA0" w14:paraId="5D786C8B" w14:textId="77777777" w:rsidTr="002F46E9">
        <w:trPr>
          <w:gridAfter w:val="1"/>
          <w:wAfter w:w="18" w:type="dxa"/>
          <w:trHeight w:val="310"/>
        </w:trPr>
        <w:tc>
          <w:tcPr>
            <w:tcW w:w="3080" w:type="dxa"/>
            <w:tcBorders>
              <w:top w:val="nil"/>
              <w:left w:val="single" w:sz="4" w:space="0" w:color="auto"/>
              <w:bottom w:val="single" w:sz="4" w:space="0" w:color="auto"/>
              <w:right w:val="single" w:sz="4" w:space="0" w:color="auto"/>
            </w:tcBorders>
            <w:shd w:val="clear" w:color="auto" w:fill="auto"/>
            <w:noWrap/>
            <w:vAlign w:val="center"/>
            <w:hideMark/>
          </w:tcPr>
          <w:p w14:paraId="3C196AE3" w14:textId="77777777" w:rsidR="00A21436" w:rsidRPr="00CA4DA0" w:rsidRDefault="00A21436" w:rsidP="00A21436">
            <w:pPr>
              <w:spacing w:after="0" w:line="240" w:lineRule="auto"/>
              <w:rPr>
                <w:rFonts w:eastAsia="Times New Roman" w:cstheme="minorHAnsi"/>
                <w:sz w:val="24"/>
                <w:szCs w:val="24"/>
              </w:rPr>
            </w:pPr>
            <w:r w:rsidRPr="00CA4DA0">
              <w:rPr>
                <w:rFonts w:eastAsia="Times New Roman" w:cstheme="minorHAnsi"/>
                <w:sz w:val="24"/>
                <w:szCs w:val="24"/>
              </w:rPr>
              <w:t>Unemployment rate</w:t>
            </w:r>
          </w:p>
        </w:tc>
        <w:tc>
          <w:tcPr>
            <w:tcW w:w="643" w:type="dxa"/>
            <w:tcBorders>
              <w:top w:val="nil"/>
              <w:left w:val="nil"/>
              <w:bottom w:val="single" w:sz="4" w:space="0" w:color="auto"/>
              <w:right w:val="single" w:sz="4" w:space="0" w:color="auto"/>
            </w:tcBorders>
            <w:shd w:val="clear" w:color="auto" w:fill="auto"/>
            <w:noWrap/>
            <w:vAlign w:val="center"/>
            <w:hideMark/>
          </w:tcPr>
          <w:p w14:paraId="36264E52"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3.9</w:t>
            </w:r>
          </w:p>
        </w:tc>
        <w:tc>
          <w:tcPr>
            <w:tcW w:w="643" w:type="dxa"/>
            <w:tcBorders>
              <w:top w:val="nil"/>
              <w:left w:val="nil"/>
              <w:bottom w:val="single" w:sz="4" w:space="0" w:color="auto"/>
              <w:right w:val="single" w:sz="4" w:space="0" w:color="auto"/>
            </w:tcBorders>
            <w:shd w:val="clear" w:color="auto" w:fill="auto"/>
            <w:noWrap/>
            <w:vAlign w:val="center"/>
            <w:hideMark/>
          </w:tcPr>
          <w:p w14:paraId="7697810B"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3.6</w:t>
            </w:r>
          </w:p>
        </w:tc>
        <w:tc>
          <w:tcPr>
            <w:tcW w:w="643" w:type="dxa"/>
            <w:tcBorders>
              <w:top w:val="nil"/>
              <w:left w:val="nil"/>
              <w:bottom w:val="single" w:sz="4" w:space="0" w:color="auto"/>
              <w:right w:val="single" w:sz="4" w:space="0" w:color="auto"/>
            </w:tcBorders>
            <w:shd w:val="clear" w:color="auto" w:fill="auto"/>
            <w:noWrap/>
            <w:vAlign w:val="center"/>
            <w:hideMark/>
          </w:tcPr>
          <w:p w14:paraId="2D3E7A5C"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3.6</w:t>
            </w:r>
          </w:p>
        </w:tc>
        <w:tc>
          <w:tcPr>
            <w:tcW w:w="644" w:type="dxa"/>
            <w:tcBorders>
              <w:top w:val="nil"/>
              <w:left w:val="nil"/>
              <w:bottom w:val="single" w:sz="4" w:space="0" w:color="auto"/>
              <w:right w:val="single" w:sz="4" w:space="0" w:color="auto"/>
            </w:tcBorders>
            <w:shd w:val="clear" w:color="auto" w:fill="auto"/>
            <w:noWrap/>
            <w:vAlign w:val="center"/>
            <w:hideMark/>
          </w:tcPr>
          <w:p w14:paraId="50E8DC89"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3.5</w:t>
            </w:r>
          </w:p>
        </w:tc>
        <w:tc>
          <w:tcPr>
            <w:tcW w:w="643" w:type="dxa"/>
            <w:tcBorders>
              <w:top w:val="nil"/>
              <w:left w:val="nil"/>
              <w:bottom w:val="single" w:sz="4" w:space="0" w:color="auto"/>
              <w:right w:val="single" w:sz="4" w:space="0" w:color="auto"/>
            </w:tcBorders>
            <w:shd w:val="clear" w:color="auto" w:fill="auto"/>
            <w:noWrap/>
            <w:vAlign w:val="center"/>
            <w:hideMark/>
          </w:tcPr>
          <w:p w14:paraId="106147B1"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3.8</w:t>
            </w:r>
          </w:p>
        </w:tc>
        <w:tc>
          <w:tcPr>
            <w:tcW w:w="643" w:type="dxa"/>
            <w:tcBorders>
              <w:top w:val="nil"/>
              <w:left w:val="nil"/>
              <w:bottom w:val="single" w:sz="4" w:space="0" w:color="auto"/>
              <w:right w:val="single" w:sz="4" w:space="0" w:color="auto"/>
            </w:tcBorders>
            <w:shd w:val="clear" w:color="auto" w:fill="auto"/>
            <w:noWrap/>
            <w:vAlign w:val="center"/>
            <w:hideMark/>
          </w:tcPr>
          <w:p w14:paraId="7F08158F"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13.1</w:t>
            </w:r>
          </w:p>
        </w:tc>
        <w:tc>
          <w:tcPr>
            <w:tcW w:w="643" w:type="dxa"/>
            <w:tcBorders>
              <w:top w:val="nil"/>
              <w:left w:val="nil"/>
              <w:bottom w:val="single" w:sz="4" w:space="0" w:color="auto"/>
              <w:right w:val="single" w:sz="4" w:space="0" w:color="auto"/>
            </w:tcBorders>
            <w:shd w:val="clear" w:color="auto" w:fill="auto"/>
            <w:noWrap/>
            <w:vAlign w:val="center"/>
            <w:hideMark/>
          </w:tcPr>
          <w:p w14:paraId="742FFAFE"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8.8</w:t>
            </w:r>
          </w:p>
        </w:tc>
        <w:tc>
          <w:tcPr>
            <w:tcW w:w="644" w:type="dxa"/>
            <w:tcBorders>
              <w:top w:val="nil"/>
              <w:left w:val="nil"/>
              <w:bottom w:val="single" w:sz="4" w:space="0" w:color="auto"/>
              <w:right w:val="single" w:sz="4" w:space="0" w:color="auto"/>
            </w:tcBorders>
            <w:shd w:val="clear" w:color="auto" w:fill="auto"/>
            <w:noWrap/>
            <w:vAlign w:val="center"/>
            <w:hideMark/>
          </w:tcPr>
          <w:p w14:paraId="6FBCDFC7"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6.8</w:t>
            </w:r>
          </w:p>
        </w:tc>
        <w:tc>
          <w:tcPr>
            <w:tcW w:w="644" w:type="dxa"/>
            <w:tcBorders>
              <w:top w:val="nil"/>
              <w:left w:val="nil"/>
              <w:bottom w:val="single" w:sz="4" w:space="0" w:color="auto"/>
              <w:right w:val="single" w:sz="4" w:space="0" w:color="auto"/>
            </w:tcBorders>
            <w:shd w:val="clear" w:color="auto" w:fill="auto"/>
            <w:noWrap/>
            <w:vAlign w:val="center"/>
            <w:hideMark/>
          </w:tcPr>
          <w:p w14:paraId="3BE1B8B9"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6.2</w:t>
            </w:r>
          </w:p>
        </w:tc>
      </w:tr>
      <w:tr w:rsidR="00297D7D" w:rsidRPr="00CA4DA0" w14:paraId="4A26938A" w14:textId="77777777" w:rsidTr="002F46E9">
        <w:trPr>
          <w:gridAfter w:val="1"/>
          <w:wAfter w:w="18" w:type="dxa"/>
          <w:trHeight w:val="310"/>
        </w:trPr>
        <w:tc>
          <w:tcPr>
            <w:tcW w:w="3080" w:type="dxa"/>
            <w:tcBorders>
              <w:top w:val="nil"/>
              <w:left w:val="single" w:sz="4" w:space="0" w:color="auto"/>
              <w:bottom w:val="single" w:sz="4" w:space="0" w:color="auto"/>
              <w:right w:val="single" w:sz="4" w:space="0" w:color="auto"/>
            </w:tcBorders>
            <w:shd w:val="clear" w:color="auto" w:fill="auto"/>
            <w:noWrap/>
            <w:vAlign w:val="center"/>
            <w:hideMark/>
          </w:tcPr>
          <w:p w14:paraId="6FE8FA71" w14:textId="77777777" w:rsidR="00A21436" w:rsidRPr="00CA4DA0" w:rsidRDefault="00A21436" w:rsidP="00A21436">
            <w:pPr>
              <w:spacing w:after="0" w:line="240" w:lineRule="auto"/>
              <w:rPr>
                <w:rFonts w:eastAsia="Times New Roman" w:cstheme="minorHAnsi"/>
                <w:sz w:val="24"/>
                <w:szCs w:val="24"/>
              </w:rPr>
            </w:pPr>
            <w:r w:rsidRPr="00CA4DA0">
              <w:rPr>
                <w:rFonts w:eastAsia="Times New Roman" w:cstheme="minorHAnsi"/>
                <w:sz w:val="24"/>
                <w:szCs w:val="24"/>
              </w:rPr>
              <w:t>Employment-population ratio</w:t>
            </w:r>
          </w:p>
        </w:tc>
        <w:tc>
          <w:tcPr>
            <w:tcW w:w="643" w:type="dxa"/>
            <w:tcBorders>
              <w:top w:val="nil"/>
              <w:left w:val="nil"/>
              <w:bottom w:val="single" w:sz="4" w:space="0" w:color="auto"/>
              <w:right w:val="single" w:sz="4" w:space="0" w:color="auto"/>
            </w:tcBorders>
            <w:shd w:val="clear" w:color="auto" w:fill="auto"/>
            <w:noWrap/>
            <w:vAlign w:val="center"/>
            <w:hideMark/>
          </w:tcPr>
          <w:p w14:paraId="57DCBB1C" w14:textId="7196E37D" w:rsidR="00A21436" w:rsidRPr="00CA4DA0" w:rsidRDefault="00BB6982" w:rsidP="00A21436">
            <w:pPr>
              <w:spacing w:after="0" w:line="240" w:lineRule="auto"/>
              <w:jc w:val="center"/>
              <w:rPr>
                <w:rFonts w:eastAsia="Times New Roman" w:cstheme="minorHAnsi"/>
                <w:sz w:val="24"/>
                <w:szCs w:val="24"/>
              </w:rPr>
            </w:pPr>
            <w:r w:rsidRPr="00CA4DA0">
              <w:rPr>
                <w:rFonts w:eastAsia="Times New Roman" w:cstheme="minorHAnsi"/>
                <w:sz w:val="24"/>
                <w:szCs w:val="24"/>
              </w:rPr>
              <w:t>60.7</w:t>
            </w:r>
          </w:p>
        </w:tc>
        <w:tc>
          <w:tcPr>
            <w:tcW w:w="643" w:type="dxa"/>
            <w:tcBorders>
              <w:top w:val="nil"/>
              <w:left w:val="nil"/>
              <w:bottom w:val="single" w:sz="4" w:space="0" w:color="auto"/>
              <w:right w:val="single" w:sz="4" w:space="0" w:color="auto"/>
            </w:tcBorders>
            <w:shd w:val="clear" w:color="auto" w:fill="auto"/>
            <w:noWrap/>
            <w:vAlign w:val="center"/>
            <w:hideMark/>
          </w:tcPr>
          <w:p w14:paraId="4A02F6F7" w14:textId="0CD3AABB" w:rsidR="00A21436" w:rsidRPr="00CA4DA0" w:rsidRDefault="00BB6982" w:rsidP="00A21436">
            <w:pPr>
              <w:spacing w:after="0" w:line="240" w:lineRule="auto"/>
              <w:jc w:val="center"/>
              <w:rPr>
                <w:rFonts w:eastAsia="Times New Roman" w:cstheme="minorHAnsi"/>
                <w:sz w:val="24"/>
                <w:szCs w:val="24"/>
              </w:rPr>
            </w:pPr>
            <w:r w:rsidRPr="00CA4DA0">
              <w:rPr>
                <w:rFonts w:eastAsia="Times New Roman" w:cstheme="minorHAnsi"/>
                <w:sz w:val="24"/>
                <w:szCs w:val="24"/>
              </w:rPr>
              <w:t>60.6</w:t>
            </w:r>
          </w:p>
        </w:tc>
        <w:tc>
          <w:tcPr>
            <w:tcW w:w="643" w:type="dxa"/>
            <w:tcBorders>
              <w:top w:val="nil"/>
              <w:left w:val="nil"/>
              <w:bottom w:val="single" w:sz="4" w:space="0" w:color="auto"/>
              <w:right w:val="single" w:sz="4" w:space="0" w:color="auto"/>
            </w:tcBorders>
            <w:shd w:val="clear" w:color="auto" w:fill="auto"/>
            <w:noWrap/>
            <w:vAlign w:val="center"/>
            <w:hideMark/>
          </w:tcPr>
          <w:p w14:paraId="6EC93ABE" w14:textId="41EA11D8" w:rsidR="00A21436" w:rsidRPr="00CA4DA0" w:rsidRDefault="00BB6982" w:rsidP="00A21436">
            <w:pPr>
              <w:spacing w:after="0" w:line="240" w:lineRule="auto"/>
              <w:jc w:val="center"/>
              <w:rPr>
                <w:rFonts w:eastAsia="Times New Roman" w:cstheme="minorHAnsi"/>
                <w:sz w:val="24"/>
                <w:szCs w:val="24"/>
              </w:rPr>
            </w:pPr>
            <w:r w:rsidRPr="00CA4DA0">
              <w:rPr>
                <w:rFonts w:eastAsia="Times New Roman" w:cstheme="minorHAnsi"/>
                <w:sz w:val="24"/>
                <w:szCs w:val="24"/>
              </w:rPr>
              <w:t>60.8</w:t>
            </w:r>
          </w:p>
        </w:tc>
        <w:tc>
          <w:tcPr>
            <w:tcW w:w="644" w:type="dxa"/>
            <w:tcBorders>
              <w:top w:val="nil"/>
              <w:left w:val="nil"/>
              <w:bottom w:val="single" w:sz="4" w:space="0" w:color="auto"/>
              <w:right w:val="single" w:sz="4" w:space="0" w:color="auto"/>
            </w:tcBorders>
            <w:shd w:val="clear" w:color="auto" w:fill="auto"/>
            <w:noWrap/>
            <w:vAlign w:val="center"/>
            <w:hideMark/>
          </w:tcPr>
          <w:p w14:paraId="38DF8322" w14:textId="6F9A7453"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61</w:t>
            </w:r>
            <w:r w:rsidR="00BB6982" w:rsidRPr="00CA4DA0">
              <w:rPr>
                <w:rFonts w:eastAsia="Times New Roman" w:cstheme="minorHAnsi"/>
                <w:sz w:val="24"/>
                <w:szCs w:val="24"/>
              </w:rPr>
              <w:t>.0</w:t>
            </w:r>
          </w:p>
        </w:tc>
        <w:tc>
          <w:tcPr>
            <w:tcW w:w="643" w:type="dxa"/>
            <w:tcBorders>
              <w:top w:val="nil"/>
              <w:left w:val="nil"/>
              <w:bottom w:val="single" w:sz="4" w:space="0" w:color="auto"/>
              <w:right w:val="single" w:sz="4" w:space="0" w:color="auto"/>
            </w:tcBorders>
            <w:shd w:val="clear" w:color="auto" w:fill="auto"/>
            <w:noWrap/>
            <w:vAlign w:val="center"/>
            <w:hideMark/>
          </w:tcPr>
          <w:p w14:paraId="71B68FC8" w14:textId="15F59C96" w:rsidR="00A21436" w:rsidRPr="00CA4DA0" w:rsidRDefault="00BB6982" w:rsidP="00A21436">
            <w:pPr>
              <w:spacing w:after="0" w:line="240" w:lineRule="auto"/>
              <w:jc w:val="center"/>
              <w:rPr>
                <w:rFonts w:eastAsia="Times New Roman" w:cstheme="minorHAnsi"/>
                <w:sz w:val="24"/>
                <w:szCs w:val="24"/>
              </w:rPr>
            </w:pPr>
            <w:r w:rsidRPr="00CA4DA0">
              <w:rPr>
                <w:rFonts w:eastAsia="Times New Roman" w:cstheme="minorHAnsi"/>
                <w:sz w:val="24"/>
                <w:szCs w:val="24"/>
              </w:rPr>
              <w:t>60.7</w:t>
            </w:r>
          </w:p>
        </w:tc>
        <w:tc>
          <w:tcPr>
            <w:tcW w:w="643" w:type="dxa"/>
            <w:tcBorders>
              <w:top w:val="nil"/>
              <w:left w:val="nil"/>
              <w:bottom w:val="single" w:sz="4" w:space="0" w:color="auto"/>
              <w:right w:val="single" w:sz="4" w:space="0" w:color="auto"/>
            </w:tcBorders>
            <w:shd w:val="clear" w:color="auto" w:fill="auto"/>
            <w:noWrap/>
            <w:vAlign w:val="center"/>
            <w:hideMark/>
          </w:tcPr>
          <w:p w14:paraId="03B6E319"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52.9</w:t>
            </w:r>
          </w:p>
        </w:tc>
        <w:tc>
          <w:tcPr>
            <w:tcW w:w="643" w:type="dxa"/>
            <w:tcBorders>
              <w:top w:val="nil"/>
              <w:left w:val="nil"/>
              <w:bottom w:val="single" w:sz="4" w:space="0" w:color="auto"/>
              <w:right w:val="single" w:sz="4" w:space="0" w:color="auto"/>
            </w:tcBorders>
            <w:shd w:val="clear" w:color="auto" w:fill="auto"/>
            <w:noWrap/>
            <w:vAlign w:val="center"/>
            <w:hideMark/>
          </w:tcPr>
          <w:p w14:paraId="1A32D7E1"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56.1</w:t>
            </w:r>
          </w:p>
        </w:tc>
        <w:tc>
          <w:tcPr>
            <w:tcW w:w="644" w:type="dxa"/>
            <w:tcBorders>
              <w:top w:val="nil"/>
              <w:left w:val="nil"/>
              <w:bottom w:val="single" w:sz="4" w:space="0" w:color="auto"/>
              <w:right w:val="single" w:sz="4" w:space="0" w:color="auto"/>
            </w:tcBorders>
            <w:shd w:val="clear" w:color="auto" w:fill="auto"/>
            <w:noWrap/>
            <w:vAlign w:val="center"/>
            <w:hideMark/>
          </w:tcPr>
          <w:p w14:paraId="2B908325"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57.4</w:t>
            </w:r>
          </w:p>
        </w:tc>
        <w:tc>
          <w:tcPr>
            <w:tcW w:w="644" w:type="dxa"/>
            <w:tcBorders>
              <w:top w:val="nil"/>
              <w:left w:val="nil"/>
              <w:bottom w:val="single" w:sz="4" w:space="0" w:color="auto"/>
              <w:right w:val="single" w:sz="4" w:space="0" w:color="auto"/>
            </w:tcBorders>
            <w:shd w:val="clear" w:color="auto" w:fill="auto"/>
            <w:noWrap/>
            <w:vAlign w:val="center"/>
            <w:hideMark/>
          </w:tcPr>
          <w:p w14:paraId="6203E2F4"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57.6</w:t>
            </w:r>
          </w:p>
        </w:tc>
      </w:tr>
      <w:tr w:rsidR="00297D7D" w:rsidRPr="00CA4DA0" w14:paraId="415831A3" w14:textId="77777777" w:rsidTr="002F46E9">
        <w:trPr>
          <w:gridAfter w:val="1"/>
          <w:wAfter w:w="18" w:type="dxa"/>
          <w:trHeight w:val="310"/>
        </w:trPr>
        <w:tc>
          <w:tcPr>
            <w:tcW w:w="3080" w:type="dxa"/>
            <w:tcBorders>
              <w:top w:val="nil"/>
              <w:left w:val="single" w:sz="4" w:space="0" w:color="auto"/>
              <w:bottom w:val="single" w:sz="4" w:space="0" w:color="auto"/>
              <w:right w:val="single" w:sz="4" w:space="0" w:color="auto"/>
            </w:tcBorders>
            <w:shd w:val="clear" w:color="auto" w:fill="auto"/>
            <w:noWrap/>
            <w:vAlign w:val="center"/>
            <w:hideMark/>
          </w:tcPr>
          <w:p w14:paraId="44F6FA5C" w14:textId="77777777" w:rsidR="00A21436" w:rsidRPr="00CA4DA0" w:rsidRDefault="00A21436" w:rsidP="00A21436">
            <w:pPr>
              <w:spacing w:after="0" w:line="240" w:lineRule="auto"/>
              <w:rPr>
                <w:rFonts w:eastAsia="Times New Roman" w:cstheme="minorHAnsi"/>
                <w:sz w:val="24"/>
                <w:szCs w:val="24"/>
              </w:rPr>
            </w:pPr>
            <w:r w:rsidRPr="00CA4DA0">
              <w:rPr>
                <w:rFonts w:eastAsia="Times New Roman" w:cstheme="minorHAnsi"/>
                <w:sz w:val="24"/>
                <w:szCs w:val="24"/>
              </w:rPr>
              <w:t>Capacity Utilization</w:t>
            </w:r>
          </w:p>
        </w:tc>
        <w:tc>
          <w:tcPr>
            <w:tcW w:w="643" w:type="dxa"/>
            <w:tcBorders>
              <w:top w:val="nil"/>
              <w:left w:val="nil"/>
              <w:bottom w:val="single" w:sz="4" w:space="0" w:color="auto"/>
              <w:right w:val="single" w:sz="4" w:space="0" w:color="auto"/>
            </w:tcBorders>
            <w:shd w:val="clear" w:color="auto" w:fill="auto"/>
            <w:noWrap/>
            <w:vAlign w:val="bottom"/>
            <w:hideMark/>
          </w:tcPr>
          <w:p w14:paraId="51EF8478"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78.3</w:t>
            </w:r>
          </w:p>
        </w:tc>
        <w:tc>
          <w:tcPr>
            <w:tcW w:w="643" w:type="dxa"/>
            <w:tcBorders>
              <w:top w:val="nil"/>
              <w:left w:val="nil"/>
              <w:bottom w:val="single" w:sz="4" w:space="0" w:color="auto"/>
              <w:right w:val="single" w:sz="4" w:space="0" w:color="auto"/>
            </w:tcBorders>
            <w:shd w:val="clear" w:color="auto" w:fill="auto"/>
            <w:noWrap/>
            <w:vAlign w:val="bottom"/>
            <w:hideMark/>
          </w:tcPr>
          <w:p w14:paraId="6CB9E2C2"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77.5</w:t>
            </w:r>
          </w:p>
        </w:tc>
        <w:tc>
          <w:tcPr>
            <w:tcW w:w="643" w:type="dxa"/>
            <w:tcBorders>
              <w:top w:val="nil"/>
              <w:left w:val="nil"/>
              <w:bottom w:val="single" w:sz="4" w:space="0" w:color="auto"/>
              <w:right w:val="single" w:sz="4" w:space="0" w:color="auto"/>
            </w:tcBorders>
            <w:shd w:val="clear" w:color="auto" w:fill="auto"/>
            <w:noWrap/>
            <w:vAlign w:val="bottom"/>
            <w:hideMark/>
          </w:tcPr>
          <w:p w14:paraId="323D0D49"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77.2</w:t>
            </w:r>
          </w:p>
        </w:tc>
        <w:tc>
          <w:tcPr>
            <w:tcW w:w="644" w:type="dxa"/>
            <w:tcBorders>
              <w:top w:val="nil"/>
              <w:left w:val="nil"/>
              <w:bottom w:val="single" w:sz="4" w:space="0" w:color="auto"/>
              <w:right w:val="single" w:sz="4" w:space="0" w:color="auto"/>
            </w:tcBorders>
            <w:shd w:val="clear" w:color="auto" w:fill="auto"/>
            <w:noWrap/>
            <w:vAlign w:val="bottom"/>
            <w:hideMark/>
          </w:tcPr>
          <w:p w14:paraId="6B337711"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76.6</w:t>
            </w:r>
          </w:p>
        </w:tc>
        <w:tc>
          <w:tcPr>
            <w:tcW w:w="643" w:type="dxa"/>
            <w:tcBorders>
              <w:top w:val="nil"/>
              <w:left w:val="nil"/>
              <w:bottom w:val="single" w:sz="4" w:space="0" w:color="auto"/>
              <w:right w:val="single" w:sz="4" w:space="0" w:color="auto"/>
            </w:tcBorders>
            <w:shd w:val="clear" w:color="auto" w:fill="auto"/>
            <w:noWrap/>
            <w:vAlign w:val="bottom"/>
            <w:hideMark/>
          </w:tcPr>
          <w:p w14:paraId="306BC74E"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75.3</w:t>
            </w:r>
          </w:p>
        </w:tc>
        <w:tc>
          <w:tcPr>
            <w:tcW w:w="643" w:type="dxa"/>
            <w:tcBorders>
              <w:top w:val="nil"/>
              <w:left w:val="nil"/>
              <w:bottom w:val="single" w:sz="4" w:space="0" w:color="auto"/>
              <w:right w:val="single" w:sz="4" w:space="0" w:color="auto"/>
            </w:tcBorders>
            <w:shd w:val="clear" w:color="auto" w:fill="auto"/>
            <w:noWrap/>
            <w:vAlign w:val="bottom"/>
            <w:hideMark/>
          </w:tcPr>
          <w:p w14:paraId="31C9C631"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65.6</w:t>
            </w:r>
          </w:p>
        </w:tc>
        <w:tc>
          <w:tcPr>
            <w:tcW w:w="643" w:type="dxa"/>
            <w:tcBorders>
              <w:top w:val="nil"/>
              <w:left w:val="nil"/>
              <w:bottom w:val="single" w:sz="4" w:space="0" w:color="auto"/>
              <w:right w:val="single" w:sz="4" w:space="0" w:color="auto"/>
            </w:tcBorders>
            <w:shd w:val="clear" w:color="auto" w:fill="auto"/>
            <w:noWrap/>
            <w:vAlign w:val="bottom"/>
            <w:hideMark/>
          </w:tcPr>
          <w:p w14:paraId="24C50AE3"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71.9</w:t>
            </w:r>
          </w:p>
        </w:tc>
        <w:tc>
          <w:tcPr>
            <w:tcW w:w="644" w:type="dxa"/>
            <w:tcBorders>
              <w:top w:val="nil"/>
              <w:left w:val="nil"/>
              <w:bottom w:val="single" w:sz="4" w:space="0" w:color="auto"/>
              <w:right w:val="single" w:sz="4" w:space="0" w:color="auto"/>
            </w:tcBorders>
            <w:shd w:val="clear" w:color="auto" w:fill="auto"/>
            <w:noWrap/>
            <w:vAlign w:val="bottom"/>
            <w:hideMark/>
          </w:tcPr>
          <w:p w14:paraId="363F6C13"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73.4</w:t>
            </w:r>
          </w:p>
        </w:tc>
        <w:tc>
          <w:tcPr>
            <w:tcW w:w="644" w:type="dxa"/>
            <w:tcBorders>
              <w:top w:val="nil"/>
              <w:left w:val="nil"/>
              <w:bottom w:val="single" w:sz="4" w:space="0" w:color="auto"/>
              <w:right w:val="single" w:sz="4" w:space="0" w:color="auto"/>
            </w:tcBorders>
            <w:shd w:val="clear" w:color="auto" w:fill="auto"/>
            <w:noWrap/>
            <w:vAlign w:val="bottom"/>
            <w:hideMark/>
          </w:tcPr>
          <w:p w14:paraId="3A21E4ED" w14:textId="77777777" w:rsidR="00A21436" w:rsidRPr="00CA4DA0" w:rsidRDefault="00A21436" w:rsidP="00A21436">
            <w:pPr>
              <w:spacing w:after="0" w:line="240" w:lineRule="auto"/>
              <w:jc w:val="center"/>
              <w:rPr>
                <w:rFonts w:eastAsia="Times New Roman" w:cstheme="minorHAnsi"/>
                <w:sz w:val="24"/>
                <w:szCs w:val="24"/>
              </w:rPr>
            </w:pPr>
            <w:r w:rsidRPr="00CA4DA0">
              <w:rPr>
                <w:rFonts w:eastAsia="Times New Roman" w:cstheme="minorHAnsi"/>
                <w:sz w:val="24"/>
                <w:szCs w:val="24"/>
              </w:rPr>
              <w:t>73.9</w:t>
            </w:r>
          </w:p>
        </w:tc>
      </w:tr>
    </w:tbl>
    <w:p w14:paraId="101C1877" w14:textId="50A691CA" w:rsidR="00297D7D" w:rsidRPr="00CA4DA0" w:rsidRDefault="00297D7D" w:rsidP="003804C3">
      <w:pPr>
        <w:rPr>
          <w:rFonts w:cstheme="minorHAnsi"/>
          <w:sz w:val="24"/>
          <w:szCs w:val="24"/>
        </w:rPr>
      </w:pPr>
      <w:r w:rsidRPr="00CA4DA0">
        <w:rPr>
          <w:rFonts w:cstheme="minorHAnsi"/>
          <w:sz w:val="24"/>
          <w:szCs w:val="24"/>
        </w:rPr>
        <w:t>Table 1. Short-term economic outlook: A depressed economy</w:t>
      </w:r>
    </w:p>
    <w:p w14:paraId="2179680D" w14:textId="27089A81" w:rsidR="003804C3" w:rsidRPr="00CA4DA0" w:rsidRDefault="003804C3" w:rsidP="003804C3">
      <w:pPr>
        <w:rPr>
          <w:rFonts w:cstheme="minorHAnsi"/>
          <w:sz w:val="24"/>
          <w:szCs w:val="24"/>
        </w:rPr>
      </w:pPr>
      <w:r w:rsidRPr="00CA4DA0">
        <w:rPr>
          <w:rFonts w:cstheme="minorHAnsi"/>
          <w:sz w:val="24"/>
          <w:szCs w:val="24"/>
        </w:rPr>
        <w:t>Source: Bureau of Labor Statistics, Bureau of Economic Analysis, Federal Reserve Bank of Cleveland, Board of Governors of the Federal Reserve System</w:t>
      </w:r>
    </w:p>
    <w:p w14:paraId="35F9E7FB" w14:textId="20A7A153" w:rsidR="003804C3" w:rsidRPr="00CA4DA0" w:rsidRDefault="003804C3" w:rsidP="003804C3">
      <w:pPr>
        <w:jc w:val="center"/>
        <w:rPr>
          <w:rFonts w:cstheme="minorHAnsi"/>
          <w:sz w:val="24"/>
          <w:szCs w:val="24"/>
        </w:rPr>
      </w:pPr>
    </w:p>
    <w:tbl>
      <w:tblPr>
        <w:tblW w:w="8713" w:type="dxa"/>
        <w:jc w:val="center"/>
        <w:tblLook w:val="04A0" w:firstRow="1" w:lastRow="0" w:firstColumn="1" w:lastColumn="0" w:noHBand="0" w:noVBand="1"/>
      </w:tblPr>
      <w:tblGrid>
        <w:gridCol w:w="1951"/>
        <w:gridCol w:w="703"/>
        <w:gridCol w:w="772"/>
        <w:gridCol w:w="703"/>
        <w:gridCol w:w="764"/>
        <w:gridCol w:w="764"/>
        <w:gridCol w:w="764"/>
        <w:gridCol w:w="764"/>
        <w:gridCol w:w="764"/>
        <w:gridCol w:w="764"/>
      </w:tblGrid>
      <w:tr w:rsidR="00297D7D" w:rsidRPr="00CA4DA0" w14:paraId="57FA65F5" w14:textId="77777777" w:rsidTr="00297D7D">
        <w:trPr>
          <w:trHeight w:val="290"/>
          <w:jc w:val="center"/>
        </w:trPr>
        <w:tc>
          <w:tcPr>
            <w:tcW w:w="1951" w:type="dxa"/>
            <w:tcBorders>
              <w:top w:val="single" w:sz="4" w:space="0" w:color="auto"/>
              <w:left w:val="nil"/>
              <w:bottom w:val="single" w:sz="4" w:space="0" w:color="auto"/>
              <w:right w:val="nil"/>
            </w:tcBorders>
            <w:shd w:val="clear" w:color="auto" w:fill="auto"/>
            <w:vAlign w:val="center"/>
            <w:hideMark/>
          </w:tcPr>
          <w:p w14:paraId="4F4551B0" w14:textId="77777777" w:rsidR="003804C3" w:rsidRPr="00CA4DA0" w:rsidRDefault="003804C3" w:rsidP="00E87080">
            <w:pPr>
              <w:spacing w:after="0" w:line="240" w:lineRule="auto"/>
              <w:rPr>
                <w:rFonts w:eastAsia="Times New Roman" w:cstheme="minorHAnsi"/>
                <w:sz w:val="24"/>
                <w:szCs w:val="24"/>
              </w:rPr>
            </w:pPr>
            <w:r w:rsidRPr="00CA4DA0">
              <w:rPr>
                <w:rFonts w:eastAsia="Times New Roman" w:cstheme="minorHAnsi"/>
                <w:sz w:val="24"/>
                <w:szCs w:val="24"/>
              </w:rPr>
              <w:t>Beginning of Expansion</w:t>
            </w:r>
          </w:p>
        </w:tc>
        <w:tc>
          <w:tcPr>
            <w:tcW w:w="703" w:type="dxa"/>
            <w:tcBorders>
              <w:top w:val="single" w:sz="4" w:space="0" w:color="auto"/>
              <w:left w:val="nil"/>
              <w:bottom w:val="single" w:sz="4" w:space="0" w:color="auto"/>
              <w:right w:val="nil"/>
            </w:tcBorders>
            <w:shd w:val="clear" w:color="auto" w:fill="auto"/>
            <w:noWrap/>
            <w:vAlign w:val="center"/>
            <w:hideMark/>
          </w:tcPr>
          <w:p w14:paraId="315BAE0C"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1954</w:t>
            </w:r>
          </w:p>
        </w:tc>
        <w:tc>
          <w:tcPr>
            <w:tcW w:w="772" w:type="dxa"/>
            <w:tcBorders>
              <w:top w:val="single" w:sz="4" w:space="0" w:color="auto"/>
              <w:left w:val="nil"/>
              <w:bottom w:val="single" w:sz="4" w:space="0" w:color="auto"/>
              <w:right w:val="nil"/>
            </w:tcBorders>
            <w:shd w:val="clear" w:color="auto" w:fill="auto"/>
            <w:noWrap/>
            <w:vAlign w:val="center"/>
            <w:hideMark/>
          </w:tcPr>
          <w:p w14:paraId="2530C56C"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1958</w:t>
            </w:r>
          </w:p>
        </w:tc>
        <w:tc>
          <w:tcPr>
            <w:tcW w:w="703" w:type="dxa"/>
            <w:tcBorders>
              <w:top w:val="single" w:sz="4" w:space="0" w:color="auto"/>
              <w:left w:val="nil"/>
              <w:bottom w:val="single" w:sz="4" w:space="0" w:color="auto"/>
              <w:right w:val="nil"/>
            </w:tcBorders>
            <w:shd w:val="clear" w:color="auto" w:fill="auto"/>
            <w:noWrap/>
            <w:vAlign w:val="center"/>
            <w:hideMark/>
          </w:tcPr>
          <w:p w14:paraId="5B128983"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1961</w:t>
            </w:r>
          </w:p>
        </w:tc>
        <w:tc>
          <w:tcPr>
            <w:tcW w:w="764" w:type="dxa"/>
            <w:tcBorders>
              <w:top w:val="single" w:sz="4" w:space="0" w:color="auto"/>
              <w:left w:val="nil"/>
              <w:bottom w:val="single" w:sz="4" w:space="0" w:color="auto"/>
              <w:right w:val="nil"/>
            </w:tcBorders>
            <w:shd w:val="clear" w:color="auto" w:fill="auto"/>
            <w:noWrap/>
            <w:vAlign w:val="center"/>
            <w:hideMark/>
          </w:tcPr>
          <w:p w14:paraId="71325927"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1970</w:t>
            </w:r>
          </w:p>
        </w:tc>
        <w:tc>
          <w:tcPr>
            <w:tcW w:w="764" w:type="dxa"/>
            <w:tcBorders>
              <w:top w:val="single" w:sz="4" w:space="0" w:color="auto"/>
              <w:left w:val="nil"/>
              <w:bottom w:val="single" w:sz="4" w:space="0" w:color="auto"/>
              <w:right w:val="nil"/>
            </w:tcBorders>
            <w:shd w:val="clear" w:color="auto" w:fill="auto"/>
            <w:noWrap/>
            <w:vAlign w:val="center"/>
            <w:hideMark/>
          </w:tcPr>
          <w:p w14:paraId="339322F5"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1975</w:t>
            </w:r>
          </w:p>
        </w:tc>
        <w:tc>
          <w:tcPr>
            <w:tcW w:w="764" w:type="dxa"/>
            <w:tcBorders>
              <w:top w:val="single" w:sz="4" w:space="0" w:color="auto"/>
              <w:left w:val="nil"/>
              <w:bottom w:val="single" w:sz="4" w:space="0" w:color="auto"/>
              <w:right w:val="nil"/>
            </w:tcBorders>
            <w:shd w:val="clear" w:color="auto" w:fill="auto"/>
            <w:noWrap/>
            <w:vAlign w:val="center"/>
            <w:hideMark/>
          </w:tcPr>
          <w:p w14:paraId="2EB0D929"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1982</w:t>
            </w:r>
          </w:p>
        </w:tc>
        <w:tc>
          <w:tcPr>
            <w:tcW w:w="764" w:type="dxa"/>
            <w:tcBorders>
              <w:top w:val="single" w:sz="4" w:space="0" w:color="auto"/>
              <w:left w:val="nil"/>
              <w:bottom w:val="single" w:sz="4" w:space="0" w:color="auto"/>
              <w:right w:val="nil"/>
            </w:tcBorders>
            <w:shd w:val="clear" w:color="auto" w:fill="auto"/>
            <w:noWrap/>
            <w:vAlign w:val="center"/>
            <w:hideMark/>
          </w:tcPr>
          <w:p w14:paraId="5187D0A9"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1991</w:t>
            </w:r>
          </w:p>
        </w:tc>
        <w:tc>
          <w:tcPr>
            <w:tcW w:w="764" w:type="dxa"/>
            <w:tcBorders>
              <w:top w:val="single" w:sz="4" w:space="0" w:color="auto"/>
              <w:left w:val="nil"/>
              <w:bottom w:val="single" w:sz="4" w:space="0" w:color="auto"/>
              <w:right w:val="nil"/>
            </w:tcBorders>
            <w:shd w:val="clear" w:color="auto" w:fill="auto"/>
            <w:noWrap/>
            <w:vAlign w:val="center"/>
            <w:hideMark/>
          </w:tcPr>
          <w:p w14:paraId="625CCA45"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2001</w:t>
            </w:r>
          </w:p>
        </w:tc>
        <w:tc>
          <w:tcPr>
            <w:tcW w:w="764" w:type="dxa"/>
            <w:tcBorders>
              <w:top w:val="single" w:sz="4" w:space="0" w:color="auto"/>
              <w:left w:val="nil"/>
              <w:bottom w:val="single" w:sz="4" w:space="0" w:color="auto"/>
              <w:right w:val="nil"/>
            </w:tcBorders>
            <w:shd w:val="clear" w:color="auto" w:fill="auto"/>
            <w:noWrap/>
            <w:vAlign w:val="center"/>
            <w:hideMark/>
          </w:tcPr>
          <w:p w14:paraId="1CC8A1F8"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2009</w:t>
            </w:r>
          </w:p>
        </w:tc>
      </w:tr>
      <w:tr w:rsidR="00297D7D" w:rsidRPr="00CA4DA0" w14:paraId="6ECBE8AD" w14:textId="77777777" w:rsidTr="00297D7D">
        <w:trPr>
          <w:trHeight w:val="580"/>
          <w:jc w:val="center"/>
        </w:trPr>
        <w:tc>
          <w:tcPr>
            <w:tcW w:w="1951" w:type="dxa"/>
            <w:tcBorders>
              <w:top w:val="nil"/>
              <w:left w:val="nil"/>
              <w:bottom w:val="single" w:sz="4" w:space="0" w:color="auto"/>
              <w:right w:val="nil"/>
            </w:tcBorders>
            <w:shd w:val="clear" w:color="auto" w:fill="auto"/>
            <w:vAlign w:val="center"/>
            <w:hideMark/>
          </w:tcPr>
          <w:p w14:paraId="3C26510E" w14:textId="77777777" w:rsidR="003804C3" w:rsidRPr="00CA4DA0" w:rsidRDefault="003804C3" w:rsidP="00E87080">
            <w:pPr>
              <w:spacing w:after="0" w:line="240" w:lineRule="auto"/>
              <w:rPr>
                <w:rFonts w:eastAsia="Times New Roman" w:cstheme="minorHAnsi"/>
                <w:sz w:val="24"/>
                <w:szCs w:val="24"/>
              </w:rPr>
            </w:pPr>
            <w:r w:rsidRPr="00CA4DA0">
              <w:rPr>
                <w:rFonts w:eastAsia="Times New Roman" w:cstheme="minorHAnsi"/>
                <w:sz w:val="24"/>
                <w:szCs w:val="24"/>
              </w:rPr>
              <w:t>Average Real GNP per capita growth rate (%)</w:t>
            </w:r>
          </w:p>
        </w:tc>
        <w:tc>
          <w:tcPr>
            <w:tcW w:w="703" w:type="dxa"/>
            <w:tcBorders>
              <w:top w:val="nil"/>
              <w:left w:val="nil"/>
              <w:bottom w:val="single" w:sz="4" w:space="0" w:color="auto"/>
              <w:right w:val="nil"/>
            </w:tcBorders>
            <w:shd w:val="clear" w:color="auto" w:fill="auto"/>
            <w:noWrap/>
            <w:vAlign w:val="center"/>
            <w:hideMark/>
          </w:tcPr>
          <w:p w14:paraId="250052E4"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1.6</w:t>
            </w:r>
          </w:p>
        </w:tc>
        <w:tc>
          <w:tcPr>
            <w:tcW w:w="772" w:type="dxa"/>
            <w:tcBorders>
              <w:top w:val="nil"/>
              <w:left w:val="nil"/>
              <w:bottom w:val="single" w:sz="4" w:space="0" w:color="auto"/>
              <w:right w:val="nil"/>
            </w:tcBorders>
            <w:shd w:val="clear" w:color="auto" w:fill="auto"/>
            <w:noWrap/>
            <w:vAlign w:val="center"/>
            <w:hideMark/>
          </w:tcPr>
          <w:p w14:paraId="1878AF46"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1.8</w:t>
            </w:r>
          </w:p>
        </w:tc>
        <w:tc>
          <w:tcPr>
            <w:tcW w:w="703" w:type="dxa"/>
            <w:tcBorders>
              <w:top w:val="nil"/>
              <w:left w:val="nil"/>
              <w:bottom w:val="single" w:sz="4" w:space="0" w:color="auto"/>
              <w:right w:val="nil"/>
            </w:tcBorders>
            <w:shd w:val="clear" w:color="auto" w:fill="auto"/>
            <w:noWrap/>
            <w:vAlign w:val="center"/>
            <w:hideMark/>
          </w:tcPr>
          <w:p w14:paraId="68E8DDFA"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3.5</w:t>
            </w:r>
          </w:p>
        </w:tc>
        <w:tc>
          <w:tcPr>
            <w:tcW w:w="764" w:type="dxa"/>
            <w:tcBorders>
              <w:top w:val="nil"/>
              <w:left w:val="nil"/>
              <w:bottom w:val="single" w:sz="4" w:space="0" w:color="auto"/>
              <w:right w:val="nil"/>
            </w:tcBorders>
            <w:shd w:val="clear" w:color="auto" w:fill="auto"/>
            <w:noWrap/>
            <w:vAlign w:val="center"/>
            <w:hideMark/>
          </w:tcPr>
          <w:p w14:paraId="4898BFF3"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3.1</w:t>
            </w:r>
          </w:p>
        </w:tc>
        <w:tc>
          <w:tcPr>
            <w:tcW w:w="764" w:type="dxa"/>
            <w:tcBorders>
              <w:top w:val="nil"/>
              <w:left w:val="nil"/>
              <w:bottom w:val="single" w:sz="4" w:space="0" w:color="auto"/>
              <w:right w:val="nil"/>
            </w:tcBorders>
            <w:shd w:val="clear" w:color="auto" w:fill="auto"/>
            <w:noWrap/>
            <w:vAlign w:val="center"/>
            <w:hideMark/>
          </w:tcPr>
          <w:p w14:paraId="270897FC"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3.0</w:t>
            </w:r>
          </w:p>
        </w:tc>
        <w:tc>
          <w:tcPr>
            <w:tcW w:w="764" w:type="dxa"/>
            <w:tcBorders>
              <w:top w:val="nil"/>
              <w:left w:val="nil"/>
              <w:bottom w:val="single" w:sz="4" w:space="0" w:color="auto"/>
              <w:right w:val="nil"/>
            </w:tcBorders>
            <w:shd w:val="clear" w:color="auto" w:fill="auto"/>
            <w:noWrap/>
            <w:vAlign w:val="center"/>
            <w:hideMark/>
          </w:tcPr>
          <w:p w14:paraId="0FBB55B3"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4.0</w:t>
            </w:r>
          </w:p>
        </w:tc>
        <w:tc>
          <w:tcPr>
            <w:tcW w:w="764" w:type="dxa"/>
            <w:tcBorders>
              <w:top w:val="nil"/>
              <w:left w:val="nil"/>
              <w:bottom w:val="single" w:sz="4" w:space="0" w:color="auto"/>
              <w:right w:val="nil"/>
            </w:tcBorders>
            <w:shd w:val="clear" w:color="auto" w:fill="auto"/>
            <w:noWrap/>
            <w:vAlign w:val="center"/>
            <w:hideMark/>
          </w:tcPr>
          <w:p w14:paraId="20D35B84"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1.3</w:t>
            </w:r>
          </w:p>
        </w:tc>
        <w:tc>
          <w:tcPr>
            <w:tcW w:w="764" w:type="dxa"/>
            <w:tcBorders>
              <w:top w:val="nil"/>
              <w:left w:val="nil"/>
              <w:bottom w:val="single" w:sz="4" w:space="0" w:color="auto"/>
              <w:right w:val="nil"/>
            </w:tcBorders>
            <w:shd w:val="clear" w:color="auto" w:fill="auto"/>
            <w:noWrap/>
            <w:vAlign w:val="center"/>
            <w:hideMark/>
          </w:tcPr>
          <w:p w14:paraId="676AA63A"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2.0</w:t>
            </w:r>
          </w:p>
        </w:tc>
        <w:tc>
          <w:tcPr>
            <w:tcW w:w="764" w:type="dxa"/>
            <w:tcBorders>
              <w:top w:val="nil"/>
              <w:left w:val="nil"/>
              <w:bottom w:val="single" w:sz="4" w:space="0" w:color="auto"/>
              <w:right w:val="nil"/>
            </w:tcBorders>
            <w:shd w:val="clear" w:color="auto" w:fill="auto"/>
            <w:noWrap/>
            <w:vAlign w:val="center"/>
            <w:hideMark/>
          </w:tcPr>
          <w:p w14:paraId="0177DFA8"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1.6</w:t>
            </w:r>
          </w:p>
        </w:tc>
      </w:tr>
      <w:tr w:rsidR="00297D7D" w:rsidRPr="00CA4DA0" w14:paraId="22E08BD3" w14:textId="77777777" w:rsidTr="00297D7D">
        <w:trPr>
          <w:trHeight w:val="290"/>
          <w:jc w:val="center"/>
        </w:trPr>
        <w:tc>
          <w:tcPr>
            <w:tcW w:w="1951" w:type="dxa"/>
            <w:tcBorders>
              <w:top w:val="nil"/>
              <w:left w:val="nil"/>
              <w:bottom w:val="single" w:sz="4" w:space="0" w:color="auto"/>
              <w:right w:val="nil"/>
            </w:tcBorders>
            <w:shd w:val="clear" w:color="auto" w:fill="auto"/>
            <w:vAlign w:val="center"/>
            <w:hideMark/>
          </w:tcPr>
          <w:p w14:paraId="1FAA1AFA" w14:textId="77777777" w:rsidR="003804C3" w:rsidRPr="00CA4DA0" w:rsidRDefault="003804C3" w:rsidP="00E87080">
            <w:pPr>
              <w:spacing w:after="0" w:line="240" w:lineRule="auto"/>
              <w:rPr>
                <w:rFonts w:eastAsia="Times New Roman" w:cstheme="minorHAnsi"/>
                <w:sz w:val="24"/>
                <w:szCs w:val="24"/>
              </w:rPr>
            </w:pPr>
            <w:r w:rsidRPr="00CA4DA0">
              <w:rPr>
                <w:rFonts w:eastAsia="Times New Roman" w:cstheme="minorHAnsi"/>
                <w:sz w:val="24"/>
                <w:szCs w:val="24"/>
              </w:rPr>
              <w:t>Gini index</w:t>
            </w:r>
          </w:p>
        </w:tc>
        <w:tc>
          <w:tcPr>
            <w:tcW w:w="703" w:type="dxa"/>
            <w:tcBorders>
              <w:top w:val="nil"/>
              <w:left w:val="nil"/>
              <w:bottom w:val="single" w:sz="4" w:space="0" w:color="auto"/>
              <w:right w:val="nil"/>
            </w:tcBorders>
            <w:shd w:val="clear" w:color="auto" w:fill="auto"/>
            <w:noWrap/>
            <w:vAlign w:val="center"/>
            <w:hideMark/>
          </w:tcPr>
          <w:p w14:paraId="5BD9BE03"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N/A</w:t>
            </w:r>
          </w:p>
        </w:tc>
        <w:tc>
          <w:tcPr>
            <w:tcW w:w="772" w:type="dxa"/>
            <w:tcBorders>
              <w:top w:val="nil"/>
              <w:left w:val="nil"/>
              <w:bottom w:val="single" w:sz="4" w:space="0" w:color="auto"/>
              <w:right w:val="nil"/>
            </w:tcBorders>
            <w:shd w:val="clear" w:color="auto" w:fill="auto"/>
            <w:noWrap/>
            <w:vAlign w:val="center"/>
            <w:hideMark/>
          </w:tcPr>
          <w:p w14:paraId="4B5B6716"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N/A</w:t>
            </w:r>
          </w:p>
        </w:tc>
        <w:tc>
          <w:tcPr>
            <w:tcW w:w="703" w:type="dxa"/>
            <w:tcBorders>
              <w:top w:val="nil"/>
              <w:left w:val="nil"/>
              <w:bottom w:val="single" w:sz="4" w:space="0" w:color="auto"/>
              <w:right w:val="nil"/>
            </w:tcBorders>
            <w:shd w:val="clear" w:color="auto" w:fill="auto"/>
            <w:noWrap/>
            <w:vAlign w:val="center"/>
            <w:hideMark/>
          </w:tcPr>
          <w:p w14:paraId="0C8E8359"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N/A</w:t>
            </w:r>
          </w:p>
        </w:tc>
        <w:tc>
          <w:tcPr>
            <w:tcW w:w="764" w:type="dxa"/>
            <w:tcBorders>
              <w:top w:val="nil"/>
              <w:left w:val="nil"/>
              <w:bottom w:val="single" w:sz="4" w:space="0" w:color="auto"/>
              <w:right w:val="single" w:sz="4" w:space="0" w:color="AAC1D9"/>
            </w:tcBorders>
            <w:shd w:val="clear" w:color="000000" w:fill="FFFFFF"/>
            <w:vAlign w:val="center"/>
            <w:hideMark/>
          </w:tcPr>
          <w:p w14:paraId="5251A454"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0.394</w:t>
            </w:r>
          </w:p>
        </w:tc>
        <w:tc>
          <w:tcPr>
            <w:tcW w:w="764" w:type="dxa"/>
            <w:tcBorders>
              <w:top w:val="single" w:sz="4" w:space="0" w:color="auto"/>
              <w:left w:val="nil"/>
              <w:bottom w:val="single" w:sz="4" w:space="0" w:color="auto"/>
            </w:tcBorders>
            <w:shd w:val="clear" w:color="000000" w:fill="FFFFFF"/>
            <w:vAlign w:val="center"/>
            <w:hideMark/>
          </w:tcPr>
          <w:p w14:paraId="211A10CC"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0.397</w:t>
            </w:r>
          </w:p>
        </w:tc>
        <w:tc>
          <w:tcPr>
            <w:tcW w:w="764" w:type="dxa"/>
            <w:tcBorders>
              <w:top w:val="nil"/>
              <w:left w:val="nil"/>
              <w:bottom w:val="single" w:sz="4" w:space="0" w:color="auto"/>
              <w:right w:val="single" w:sz="4" w:space="0" w:color="AAC1D9"/>
            </w:tcBorders>
            <w:shd w:val="clear" w:color="000000" w:fill="FFFFFF"/>
            <w:vAlign w:val="center"/>
            <w:hideMark/>
          </w:tcPr>
          <w:p w14:paraId="00031344"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0.412</w:t>
            </w:r>
          </w:p>
        </w:tc>
        <w:tc>
          <w:tcPr>
            <w:tcW w:w="764" w:type="dxa"/>
            <w:tcBorders>
              <w:top w:val="nil"/>
              <w:left w:val="nil"/>
              <w:bottom w:val="single" w:sz="4" w:space="0" w:color="auto"/>
              <w:right w:val="single" w:sz="4" w:space="0" w:color="AAC1D9"/>
            </w:tcBorders>
            <w:shd w:val="clear" w:color="000000" w:fill="FFFFFF"/>
            <w:vAlign w:val="center"/>
            <w:hideMark/>
          </w:tcPr>
          <w:p w14:paraId="1106D12D"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0.428</w:t>
            </w:r>
          </w:p>
        </w:tc>
        <w:tc>
          <w:tcPr>
            <w:tcW w:w="764" w:type="dxa"/>
            <w:tcBorders>
              <w:top w:val="nil"/>
              <w:left w:val="nil"/>
              <w:bottom w:val="single" w:sz="4" w:space="0" w:color="auto"/>
              <w:right w:val="single" w:sz="4" w:space="0" w:color="AAC1D9"/>
            </w:tcBorders>
            <w:shd w:val="clear" w:color="000000" w:fill="FFFFFF"/>
            <w:vAlign w:val="center"/>
            <w:hideMark/>
          </w:tcPr>
          <w:p w14:paraId="4D936B0A"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0.462</w:t>
            </w:r>
          </w:p>
        </w:tc>
        <w:tc>
          <w:tcPr>
            <w:tcW w:w="764" w:type="dxa"/>
            <w:tcBorders>
              <w:top w:val="nil"/>
              <w:left w:val="nil"/>
              <w:bottom w:val="single" w:sz="4" w:space="0" w:color="auto"/>
              <w:right w:val="single" w:sz="4" w:space="0" w:color="AAC1D9"/>
            </w:tcBorders>
            <w:shd w:val="clear" w:color="000000" w:fill="FFFFFF"/>
            <w:vAlign w:val="center"/>
            <w:hideMark/>
          </w:tcPr>
          <w:p w14:paraId="2B7E2F12"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0.468</w:t>
            </w:r>
          </w:p>
        </w:tc>
      </w:tr>
      <w:tr w:rsidR="00297D7D" w:rsidRPr="00CA4DA0" w14:paraId="51390A4C" w14:textId="77777777" w:rsidTr="00297D7D">
        <w:trPr>
          <w:trHeight w:val="580"/>
          <w:jc w:val="center"/>
        </w:trPr>
        <w:tc>
          <w:tcPr>
            <w:tcW w:w="1951" w:type="dxa"/>
            <w:tcBorders>
              <w:top w:val="nil"/>
              <w:left w:val="nil"/>
              <w:bottom w:val="single" w:sz="4" w:space="0" w:color="auto"/>
              <w:right w:val="nil"/>
            </w:tcBorders>
            <w:shd w:val="clear" w:color="auto" w:fill="auto"/>
            <w:vAlign w:val="center"/>
            <w:hideMark/>
          </w:tcPr>
          <w:p w14:paraId="1B60DFAB" w14:textId="77777777" w:rsidR="003804C3" w:rsidRPr="00CA4DA0" w:rsidRDefault="003804C3" w:rsidP="00E87080">
            <w:pPr>
              <w:spacing w:after="0" w:line="240" w:lineRule="auto"/>
              <w:rPr>
                <w:rFonts w:eastAsia="Times New Roman" w:cstheme="minorHAnsi"/>
                <w:sz w:val="24"/>
                <w:szCs w:val="24"/>
              </w:rPr>
            </w:pPr>
            <w:r w:rsidRPr="00CA4DA0">
              <w:rPr>
                <w:rFonts w:eastAsia="Times New Roman" w:cstheme="minorHAnsi"/>
                <w:sz w:val="24"/>
                <w:szCs w:val="24"/>
              </w:rPr>
              <w:t>Percent of income gain going to top 10%</w:t>
            </w:r>
          </w:p>
        </w:tc>
        <w:tc>
          <w:tcPr>
            <w:tcW w:w="703" w:type="dxa"/>
            <w:tcBorders>
              <w:top w:val="nil"/>
              <w:left w:val="nil"/>
              <w:bottom w:val="single" w:sz="4" w:space="0" w:color="auto"/>
              <w:right w:val="nil"/>
            </w:tcBorders>
            <w:shd w:val="clear" w:color="auto" w:fill="auto"/>
            <w:noWrap/>
            <w:vAlign w:val="center"/>
            <w:hideMark/>
          </w:tcPr>
          <w:p w14:paraId="6E715792"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27.8</w:t>
            </w:r>
          </w:p>
        </w:tc>
        <w:tc>
          <w:tcPr>
            <w:tcW w:w="772" w:type="dxa"/>
            <w:tcBorders>
              <w:top w:val="nil"/>
              <w:left w:val="nil"/>
              <w:bottom w:val="single" w:sz="4" w:space="0" w:color="auto"/>
              <w:right w:val="nil"/>
            </w:tcBorders>
            <w:shd w:val="clear" w:color="auto" w:fill="auto"/>
            <w:noWrap/>
            <w:vAlign w:val="center"/>
            <w:hideMark/>
          </w:tcPr>
          <w:p w14:paraId="0D395B93"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32.3</w:t>
            </w:r>
          </w:p>
        </w:tc>
        <w:tc>
          <w:tcPr>
            <w:tcW w:w="703" w:type="dxa"/>
            <w:tcBorders>
              <w:top w:val="nil"/>
              <w:left w:val="nil"/>
              <w:bottom w:val="single" w:sz="4" w:space="0" w:color="auto"/>
              <w:right w:val="nil"/>
            </w:tcBorders>
            <w:shd w:val="clear" w:color="auto" w:fill="auto"/>
            <w:noWrap/>
            <w:vAlign w:val="center"/>
            <w:hideMark/>
          </w:tcPr>
          <w:p w14:paraId="6C7AE0A7"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32.9</w:t>
            </w:r>
          </w:p>
        </w:tc>
        <w:tc>
          <w:tcPr>
            <w:tcW w:w="764" w:type="dxa"/>
            <w:tcBorders>
              <w:top w:val="nil"/>
              <w:left w:val="nil"/>
              <w:bottom w:val="single" w:sz="4" w:space="0" w:color="auto"/>
              <w:right w:val="nil"/>
            </w:tcBorders>
            <w:shd w:val="clear" w:color="auto" w:fill="auto"/>
            <w:noWrap/>
            <w:vAlign w:val="center"/>
            <w:hideMark/>
          </w:tcPr>
          <w:p w14:paraId="41096718"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43.0</w:t>
            </w:r>
          </w:p>
        </w:tc>
        <w:tc>
          <w:tcPr>
            <w:tcW w:w="764" w:type="dxa"/>
            <w:tcBorders>
              <w:top w:val="nil"/>
              <w:left w:val="nil"/>
              <w:bottom w:val="single" w:sz="4" w:space="0" w:color="auto"/>
              <w:right w:val="nil"/>
            </w:tcBorders>
            <w:shd w:val="clear" w:color="auto" w:fill="auto"/>
            <w:noWrap/>
            <w:vAlign w:val="center"/>
            <w:hideMark/>
          </w:tcPr>
          <w:p w14:paraId="20C4EA73"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45.0</w:t>
            </w:r>
          </w:p>
        </w:tc>
        <w:tc>
          <w:tcPr>
            <w:tcW w:w="764" w:type="dxa"/>
            <w:tcBorders>
              <w:top w:val="nil"/>
              <w:left w:val="nil"/>
              <w:bottom w:val="single" w:sz="4" w:space="0" w:color="auto"/>
              <w:right w:val="nil"/>
            </w:tcBorders>
            <w:shd w:val="clear" w:color="auto" w:fill="auto"/>
            <w:noWrap/>
            <w:vAlign w:val="center"/>
            <w:hideMark/>
          </w:tcPr>
          <w:p w14:paraId="3D62F261"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80.0</w:t>
            </w:r>
          </w:p>
        </w:tc>
        <w:tc>
          <w:tcPr>
            <w:tcW w:w="764" w:type="dxa"/>
            <w:tcBorders>
              <w:top w:val="nil"/>
              <w:left w:val="nil"/>
              <w:bottom w:val="single" w:sz="4" w:space="0" w:color="auto"/>
              <w:right w:val="nil"/>
            </w:tcBorders>
            <w:shd w:val="clear" w:color="auto" w:fill="auto"/>
            <w:noWrap/>
            <w:vAlign w:val="center"/>
            <w:hideMark/>
          </w:tcPr>
          <w:p w14:paraId="17F93A59"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73.0</w:t>
            </w:r>
          </w:p>
        </w:tc>
        <w:tc>
          <w:tcPr>
            <w:tcW w:w="764" w:type="dxa"/>
            <w:tcBorders>
              <w:top w:val="nil"/>
              <w:left w:val="nil"/>
              <w:bottom w:val="single" w:sz="4" w:space="0" w:color="auto"/>
              <w:right w:val="nil"/>
            </w:tcBorders>
            <w:shd w:val="clear" w:color="auto" w:fill="auto"/>
            <w:noWrap/>
            <w:vAlign w:val="center"/>
            <w:hideMark/>
          </w:tcPr>
          <w:p w14:paraId="4F402A45"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98.3</w:t>
            </w:r>
          </w:p>
        </w:tc>
        <w:tc>
          <w:tcPr>
            <w:tcW w:w="764" w:type="dxa"/>
            <w:tcBorders>
              <w:top w:val="nil"/>
              <w:left w:val="nil"/>
              <w:bottom w:val="single" w:sz="4" w:space="0" w:color="auto"/>
              <w:right w:val="nil"/>
            </w:tcBorders>
            <w:shd w:val="clear" w:color="auto" w:fill="auto"/>
            <w:noWrap/>
            <w:vAlign w:val="center"/>
            <w:hideMark/>
          </w:tcPr>
          <w:p w14:paraId="6BA26CE9"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76.9*</w:t>
            </w:r>
          </w:p>
        </w:tc>
      </w:tr>
      <w:tr w:rsidR="00297D7D" w:rsidRPr="00CA4DA0" w14:paraId="79B967D8" w14:textId="77777777" w:rsidTr="00297D7D">
        <w:trPr>
          <w:trHeight w:val="580"/>
          <w:jc w:val="center"/>
        </w:trPr>
        <w:tc>
          <w:tcPr>
            <w:tcW w:w="1951" w:type="dxa"/>
            <w:tcBorders>
              <w:top w:val="nil"/>
              <w:left w:val="nil"/>
              <w:bottom w:val="nil"/>
              <w:right w:val="nil"/>
            </w:tcBorders>
            <w:shd w:val="clear" w:color="auto" w:fill="auto"/>
            <w:vAlign w:val="center"/>
            <w:hideMark/>
          </w:tcPr>
          <w:p w14:paraId="144CF5EE" w14:textId="77777777" w:rsidR="003804C3" w:rsidRPr="00CA4DA0" w:rsidRDefault="003804C3" w:rsidP="00E87080">
            <w:pPr>
              <w:spacing w:after="0" w:line="240" w:lineRule="auto"/>
              <w:rPr>
                <w:rFonts w:eastAsia="Times New Roman" w:cstheme="minorHAnsi"/>
                <w:sz w:val="24"/>
                <w:szCs w:val="24"/>
              </w:rPr>
            </w:pPr>
            <w:r w:rsidRPr="00CA4DA0">
              <w:rPr>
                <w:rFonts w:eastAsia="Times New Roman" w:cstheme="minorHAnsi"/>
                <w:sz w:val="24"/>
                <w:szCs w:val="24"/>
              </w:rPr>
              <w:t>Time to recover jobs lost (months)</w:t>
            </w:r>
          </w:p>
        </w:tc>
        <w:tc>
          <w:tcPr>
            <w:tcW w:w="703" w:type="dxa"/>
            <w:tcBorders>
              <w:top w:val="nil"/>
              <w:left w:val="nil"/>
              <w:bottom w:val="nil"/>
              <w:right w:val="nil"/>
            </w:tcBorders>
            <w:shd w:val="clear" w:color="auto" w:fill="auto"/>
            <w:noWrap/>
            <w:vAlign w:val="center"/>
            <w:hideMark/>
          </w:tcPr>
          <w:p w14:paraId="678369A6"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23</w:t>
            </w:r>
          </w:p>
        </w:tc>
        <w:tc>
          <w:tcPr>
            <w:tcW w:w="772" w:type="dxa"/>
            <w:tcBorders>
              <w:top w:val="nil"/>
              <w:left w:val="nil"/>
              <w:bottom w:val="nil"/>
              <w:right w:val="nil"/>
            </w:tcBorders>
            <w:shd w:val="clear" w:color="auto" w:fill="auto"/>
            <w:noWrap/>
            <w:vAlign w:val="center"/>
            <w:hideMark/>
          </w:tcPr>
          <w:p w14:paraId="3778FC5E"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18</w:t>
            </w:r>
          </w:p>
        </w:tc>
        <w:tc>
          <w:tcPr>
            <w:tcW w:w="703" w:type="dxa"/>
            <w:tcBorders>
              <w:top w:val="nil"/>
              <w:left w:val="nil"/>
              <w:bottom w:val="nil"/>
              <w:right w:val="nil"/>
            </w:tcBorders>
            <w:shd w:val="clear" w:color="auto" w:fill="auto"/>
            <w:noWrap/>
            <w:vAlign w:val="center"/>
            <w:hideMark/>
          </w:tcPr>
          <w:p w14:paraId="37766DAD"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20</w:t>
            </w:r>
          </w:p>
        </w:tc>
        <w:tc>
          <w:tcPr>
            <w:tcW w:w="764" w:type="dxa"/>
            <w:tcBorders>
              <w:top w:val="nil"/>
              <w:left w:val="nil"/>
              <w:bottom w:val="nil"/>
              <w:right w:val="nil"/>
            </w:tcBorders>
            <w:shd w:val="clear" w:color="auto" w:fill="auto"/>
            <w:noWrap/>
            <w:vAlign w:val="center"/>
            <w:hideMark/>
          </w:tcPr>
          <w:p w14:paraId="555A6348"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18</w:t>
            </w:r>
          </w:p>
        </w:tc>
        <w:tc>
          <w:tcPr>
            <w:tcW w:w="764" w:type="dxa"/>
            <w:tcBorders>
              <w:top w:val="nil"/>
              <w:left w:val="nil"/>
              <w:bottom w:val="nil"/>
              <w:right w:val="nil"/>
            </w:tcBorders>
            <w:shd w:val="clear" w:color="auto" w:fill="auto"/>
            <w:noWrap/>
            <w:vAlign w:val="center"/>
            <w:hideMark/>
          </w:tcPr>
          <w:p w14:paraId="079FAE68"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19</w:t>
            </w:r>
          </w:p>
        </w:tc>
        <w:tc>
          <w:tcPr>
            <w:tcW w:w="764" w:type="dxa"/>
            <w:tcBorders>
              <w:top w:val="nil"/>
              <w:left w:val="nil"/>
              <w:bottom w:val="nil"/>
              <w:right w:val="nil"/>
            </w:tcBorders>
            <w:shd w:val="clear" w:color="auto" w:fill="auto"/>
            <w:noWrap/>
            <w:vAlign w:val="center"/>
            <w:hideMark/>
          </w:tcPr>
          <w:p w14:paraId="13F278D1"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28</w:t>
            </w:r>
          </w:p>
        </w:tc>
        <w:tc>
          <w:tcPr>
            <w:tcW w:w="764" w:type="dxa"/>
            <w:tcBorders>
              <w:top w:val="nil"/>
              <w:left w:val="nil"/>
              <w:bottom w:val="nil"/>
              <w:right w:val="nil"/>
            </w:tcBorders>
            <w:shd w:val="clear" w:color="auto" w:fill="auto"/>
            <w:noWrap/>
            <w:vAlign w:val="center"/>
            <w:hideMark/>
          </w:tcPr>
          <w:p w14:paraId="5811A3C5"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32</w:t>
            </w:r>
          </w:p>
        </w:tc>
        <w:tc>
          <w:tcPr>
            <w:tcW w:w="764" w:type="dxa"/>
            <w:tcBorders>
              <w:top w:val="nil"/>
              <w:left w:val="nil"/>
              <w:bottom w:val="nil"/>
              <w:right w:val="nil"/>
            </w:tcBorders>
            <w:shd w:val="clear" w:color="auto" w:fill="auto"/>
            <w:noWrap/>
            <w:vAlign w:val="center"/>
            <w:hideMark/>
          </w:tcPr>
          <w:p w14:paraId="37C49F19"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47</w:t>
            </w:r>
          </w:p>
        </w:tc>
        <w:tc>
          <w:tcPr>
            <w:tcW w:w="764" w:type="dxa"/>
            <w:tcBorders>
              <w:top w:val="nil"/>
              <w:left w:val="nil"/>
              <w:bottom w:val="nil"/>
              <w:right w:val="nil"/>
            </w:tcBorders>
            <w:shd w:val="clear" w:color="auto" w:fill="auto"/>
            <w:noWrap/>
            <w:vAlign w:val="center"/>
            <w:hideMark/>
          </w:tcPr>
          <w:p w14:paraId="0D185674"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76</w:t>
            </w:r>
          </w:p>
        </w:tc>
      </w:tr>
      <w:tr w:rsidR="00297D7D" w:rsidRPr="00CA4DA0" w14:paraId="73EE2501" w14:textId="77777777" w:rsidTr="00297D7D">
        <w:trPr>
          <w:trHeight w:val="580"/>
          <w:jc w:val="center"/>
        </w:trPr>
        <w:tc>
          <w:tcPr>
            <w:tcW w:w="1951" w:type="dxa"/>
            <w:tcBorders>
              <w:top w:val="nil"/>
              <w:left w:val="nil"/>
              <w:bottom w:val="single" w:sz="4" w:space="0" w:color="auto"/>
              <w:right w:val="nil"/>
            </w:tcBorders>
            <w:shd w:val="clear" w:color="auto" w:fill="auto"/>
            <w:vAlign w:val="center"/>
          </w:tcPr>
          <w:p w14:paraId="58D1C327" w14:textId="77777777" w:rsidR="003804C3" w:rsidRPr="00CA4DA0" w:rsidRDefault="003804C3" w:rsidP="00E87080">
            <w:pPr>
              <w:spacing w:after="0" w:line="240" w:lineRule="auto"/>
              <w:rPr>
                <w:rFonts w:eastAsia="Times New Roman" w:cstheme="minorHAnsi"/>
                <w:sz w:val="24"/>
                <w:szCs w:val="24"/>
              </w:rPr>
            </w:pPr>
            <w:r w:rsidRPr="00CA4DA0">
              <w:rPr>
                <w:rFonts w:eastAsia="Times New Roman" w:cstheme="minorHAnsi"/>
                <w:sz w:val="24"/>
                <w:szCs w:val="24"/>
              </w:rPr>
              <w:t>Job quality index</w:t>
            </w:r>
          </w:p>
        </w:tc>
        <w:tc>
          <w:tcPr>
            <w:tcW w:w="703" w:type="dxa"/>
            <w:tcBorders>
              <w:top w:val="nil"/>
              <w:left w:val="nil"/>
              <w:bottom w:val="single" w:sz="4" w:space="0" w:color="auto"/>
              <w:right w:val="nil"/>
            </w:tcBorders>
            <w:shd w:val="clear" w:color="auto" w:fill="auto"/>
            <w:noWrap/>
            <w:vAlign w:val="center"/>
          </w:tcPr>
          <w:p w14:paraId="02388869"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N/A</w:t>
            </w:r>
          </w:p>
        </w:tc>
        <w:tc>
          <w:tcPr>
            <w:tcW w:w="772" w:type="dxa"/>
            <w:tcBorders>
              <w:top w:val="nil"/>
              <w:left w:val="nil"/>
              <w:bottom w:val="single" w:sz="4" w:space="0" w:color="auto"/>
              <w:right w:val="nil"/>
            </w:tcBorders>
            <w:shd w:val="clear" w:color="auto" w:fill="auto"/>
            <w:noWrap/>
            <w:vAlign w:val="center"/>
          </w:tcPr>
          <w:p w14:paraId="4DD5E46F"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N/A</w:t>
            </w:r>
          </w:p>
        </w:tc>
        <w:tc>
          <w:tcPr>
            <w:tcW w:w="703" w:type="dxa"/>
            <w:tcBorders>
              <w:top w:val="nil"/>
              <w:left w:val="nil"/>
              <w:bottom w:val="single" w:sz="4" w:space="0" w:color="auto"/>
              <w:right w:val="nil"/>
            </w:tcBorders>
            <w:shd w:val="clear" w:color="auto" w:fill="auto"/>
            <w:noWrap/>
            <w:vAlign w:val="center"/>
          </w:tcPr>
          <w:p w14:paraId="21A94A53"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N/A</w:t>
            </w:r>
          </w:p>
        </w:tc>
        <w:tc>
          <w:tcPr>
            <w:tcW w:w="764" w:type="dxa"/>
            <w:tcBorders>
              <w:top w:val="nil"/>
              <w:left w:val="nil"/>
              <w:bottom w:val="single" w:sz="4" w:space="0" w:color="auto"/>
              <w:right w:val="nil"/>
            </w:tcBorders>
            <w:shd w:val="clear" w:color="auto" w:fill="auto"/>
            <w:noWrap/>
            <w:vAlign w:val="center"/>
          </w:tcPr>
          <w:p w14:paraId="76950E04"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N/A</w:t>
            </w:r>
          </w:p>
        </w:tc>
        <w:tc>
          <w:tcPr>
            <w:tcW w:w="764" w:type="dxa"/>
            <w:tcBorders>
              <w:top w:val="nil"/>
              <w:left w:val="nil"/>
              <w:bottom w:val="single" w:sz="4" w:space="0" w:color="auto"/>
              <w:right w:val="nil"/>
            </w:tcBorders>
            <w:shd w:val="clear" w:color="auto" w:fill="auto"/>
            <w:noWrap/>
            <w:vAlign w:val="center"/>
          </w:tcPr>
          <w:p w14:paraId="4F47B4AD"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N/A</w:t>
            </w:r>
          </w:p>
        </w:tc>
        <w:tc>
          <w:tcPr>
            <w:tcW w:w="764" w:type="dxa"/>
            <w:tcBorders>
              <w:top w:val="nil"/>
              <w:left w:val="nil"/>
              <w:bottom w:val="single" w:sz="4" w:space="0" w:color="auto"/>
              <w:right w:val="nil"/>
            </w:tcBorders>
            <w:shd w:val="clear" w:color="auto" w:fill="auto"/>
            <w:noWrap/>
            <w:vAlign w:val="center"/>
          </w:tcPr>
          <w:p w14:paraId="0CEB2931"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N/A</w:t>
            </w:r>
          </w:p>
        </w:tc>
        <w:tc>
          <w:tcPr>
            <w:tcW w:w="764" w:type="dxa"/>
            <w:tcBorders>
              <w:top w:val="nil"/>
              <w:left w:val="nil"/>
              <w:bottom w:val="single" w:sz="4" w:space="0" w:color="auto"/>
              <w:right w:val="nil"/>
            </w:tcBorders>
            <w:shd w:val="clear" w:color="auto" w:fill="auto"/>
            <w:noWrap/>
            <w:vAlign w:val="center"/>
          </w:tcPr>
          <w:p w14:paraId="3497F632"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89</w:t>
            </w:r>
          </w:p>
        </w:tc>
        <w:tc>
          <w:tcPr>
            <w:tcW w:w="764" w:type="dxa"/>
            <w:tcBorders>
              <w:top w:val="nil"/>
              <w:left w:val="nil"/>
              <w:bottom w:val="single" w:sz="4" w:space="0" w:color="auto"/>
              <w:right w:val="nil"/>
            </w:tcBorders>
            <w:shd w:val="clear" w:color="auto" w:fill="auto"/>
            <w:noWrap/>
            <w:vAlign w:val="center"/>
          </w:tcPr>
          <w:p w14:paraId="44CCBB40"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87.8</w:t>
            </w:r>
          </w:p>
        </w:tc>
        <w:tc>
          <w:tcPr>
            <w:tcW w:w="764" w:type="dxa"/>
            <w:tcBorders>
              <w:top w:val="nil"/>
              <w:left w:val="nil"/>
              <w:bottom w:val="single" w:sz="4" w:space="0" w:color="auto"/>
              <w:right w:val="nil"/>
            </w:tcBorders>
            <w:shd w:val="clear" w:color="auto" w:fill="auto"/>
            <w:noWrap/>
            <w:vAlign w:val="center"/>
          </w:tcPr>
          <w:p w14:paraId="7D384CFB" w14:textId="77777777" w:rsidR="003804C3" w:rsidRPr="00CA4DA0" w:rsidRDefault="003804C3" w:rsidP="00E87080">
            <w:pPr>
              <w:spacing w:after="0" w:line="240" w:lineRule="auto"/>
              <w:jc w:val="center"/>
              <w:rPr>
                <w:rFonts w:eastAsia="Times New Roman" w:cstheme="minorHAnsi"/>
                <w:sz w:val="24"/>
                <w:szCs w:val="24"/>
              </w:rPr>
            </w:pPr>
            <w:r w:rsidRPr="00CA4DA0">
              <w:rPr>
                <w:rFonts w:eastAsia="Times New Roman" w:cstheme="minorHAnsi"/>
                <w:sz w:val="24"/>
                <w:szCs w:val="24"/>
              </w:rPr>
              <w:t>81.4</w:t>
            </w:r>
          </w:p>
        </w:tc>
      </w:tr>
    </w:tbl>
    <w:p w14:paraId="344C02A4" w14:textId="630E2B29" w:rsidR="00297D7D" w:rsidRPr="00CA4DA0" w:rsidRDefault="00297D7D" w:rsidP="003804C3">
      <w:pPr>
        <w:rPr>
          <w:rFonts w:cstheme="minorHAnsi"/>
          <w:sz w:val="24"/>
          <w:szCs w:val="24"/>
        </w:rPr>
      </w:pPr>
      <w:r w:rsidRPr="00CA4DA0">
        <w:rPr>
          <w:rFonts w:cstheme="minorHAnsi"/>
          <w:sz w:val="24"/>
          <w:szCs w:val="24"/>
        </w:rPr>
        <w:t>Table 2. Long-term economic outlook: Toward Secular Stagnation</w:t>
      </w:r>
    </w:p>
    <w:p w14:paraId="120E7FE4" w14:textId="59E4A99E" w:rsidR="003804C3" w:rsidRPr="00CA4DA0" w:rsidRDefault="003804C3" w:rsidP="003804C3">
      <w:pPr>
        <w:rPr>
          <w:rFonts w:cstheme="minorHAnsi"/>
          <w:sz w:val="24"/>
          <w:szCs w:val="24"/>
        </w:rPr>
      </w:pPr>
      <w:r w:rsidRPr="00CA4DA0">
        <w:rPr>
          <w:rFonts w:cstheme="minorHAnsi"/>
          <w:sz w:val="24"/>
          <w:szCs w:val="24"/>
        </w:rPr>
        <w:t xml:space="preserve">Sources: Census Bureau, Bureau of Labor Statistics, Bureau of Economic Analysis, JQI IP Holdings LLC, and </w:t>
      </w:r>
      <w:r w:rsidRPr="00CA4DA0">
        <w:rPr>
          <w:rFonts w:eastAsia="Times New Roman" w:cstheme="minorHAnsi"/>
          <w:sz w:val="24"/>
          <w:szCs w:val="24"/>
        </w:rPr>
        <w:t xml:space="preserve">Pavlina R. Tcherneva “Reorienting Fiscal Policy: a bottom-up approach,” </w:t>
      </w:r>
      <w:r w:rsidRPr="00CA4DA0">
        <w:rPr>
          <w:rFonts w:eastAsia="Times New Roman" w:cstheme="minorHAnsi"/>
          <w:i/>
          <w:sz w:val="24"/>
          <w:szCs w:val="24"/>
        </w:rPr>
        <w:t>Journal of Post Keynesian Economics</w:t>
      </w:r>
      <w:r w:rsidRPr="00CA4DA0">
        <w:rPr>
          <w:rFonts w:eastAsia="Times New Roman" w:cstheme="minorHAnsi"/>
          <w:sz w:val="24"/>
          <w:szCs w:val="24"/>
        </w:rPr>
        <w:t xml:space="preserve"> (December 2014).</w:t>
      </w:r>
    </w:p>
    <w:p w14:paraId="514D104A" w14:textId="77777777" w:rsidR="003804C3" w:rsidRPr="00CA4DA0" w:rsidRDefault="003804C3" w:rsidP="003804C3">
      <w:pPr>
        <w:rPr>
          <w:rFonts w:cstheme="minorHAnsi"/>
          <w:sz w:val="24"/>
          <w:szCs w:val="24"/>
        </w:rPr>
      </w:pPr>
      <w:r w:rsidRPr="00CA4DA0">
        <w:rPr>
          <w:rFonts w:cstheme="minorHAnsi"/>
          <w:sz w:val="24"/>
          <w:szCs w:val="24"/>
        </w:rPr>
        <w:t>*updated to 2018</w:t>
      </w:r>
    </w:p>
    <w:p w14:paraId="1476C525" w14:textId="77777777" w:rsidR="003804C3" w:rsidRPr="00CA4DA0" w:rsidRDefault="003804C3" w:rsidP="003804C3">
      <w:pPr>
        <w:rPr>
          <w:rFonts w:cstheme="minorHAnsi"/>
          <w:sz w:val="24"/>
          <w:szCs w:val="24"/>
        </w:rPr>
      </w:pPr>
    </w:p>
    <w:p w14:paraId="2B23A7C1" w14:textId="77777777" w:rsidR="003804C3" w:rsidRPr="00CA4DA0" w:rsidRDefault="003804C3" w:rsidP="003804C3">
      <w:pPr>
        <w:jc w:val="center"/>
        <w:rPr>
          <w:rFonts w:cstheme="minorHAnsi"/>
          <w:sz w:val="24"/>
          <w:szCs w:val="24"/>
        </w:rPr>
      </w:pPr>
      <w:r w:rsidRPr="00CA4DA0">
        <w:rPr>
          <w:rFonts w:cstheme="minorHAnsi"/>
          <w:noProof/>
          <w:sz w:val="24"/>
          <w:szCs w:val="24"/>
        </w:rPr>
        <w:lastRenderedPageBreak/>
        <w:drawing>
          <wp:inline distT="0" distB="0" distL="0" distR="0" wp14:anchorId="36992C65" wp14:editId="2D48E38D">
            <wp:extent cx="4590449" cy="3328412"/>
            <wp:effectExtent l="0" t="0" r="63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92299" cy="3329753"/>
                    </a:xfrm>
                    <a:prstGeom prst="rect">
                      <a:avLst/>
                    </a:prstGeom>
                    <a:noFill/>
                    <a:ln>
                      <a:noFill/>
                    </a:ln>
                  </pic:spPr>
                </pic:pic>
              </a:graphicData>
            </a:graphic>
          </wp:inline>
        </w:drawing>
      </w:r>
    </w:p>
    <w:p w14:paraId="7EE13D12" w14:textId="07A74836" w:rsidR="00773C9F" w:rsidRPr="00CA4DA0" w:rsidRDefault="00773C9F" w:rsidP="00773C9F">
      <w:pPr>
        <w:rPr>
          <w:rFonts w:cstheme="minorHAnsi"/>
          <w:sz w:val="24"/>
          <w:szCs w:val="24"/>
        </w:rPr>
      </w:pPr>
      <w:r w:rsidRPr="00CA4DA0">
        <w:rPr>
          <w:rFonts w:cstheme="minorHAnsi"/>
          <w:sz w:val="24"/>
          <w:szCs w:val="24"/>
        </w:rPr>
        <w:t xml:space="preserve">Figure </w:t>
      </w:r>
      <w:r w:rsidR="008A626C">
        <w:rPr>
          <w:rFonts w:cstheme="minorHAnsi"/>
          <w:sz w:val="24"/>
          <w:szCs w:val="24"/>
        </w:rPr>
        <w:t>6</w:t>
      </w:r>
      <w:r w:rsidRPr="00CA4DA0">
        <w:rPr>
          <w:rFonts w:cstheme="minorHAnsi"/>
          <w:sz w:val="24"/>
          <w:szCs w:val="24"/>
        </w:rPr>
        <w:t>. Income shares, 1962 to 2019</w:t>
      </w:r>
    </w:p>
    <w:p w14:paraId="11E77381" w14:textId="77777777" w:rsidR="003804C3" w:rsidRPr="00CA4DA0" w:rsidRDefault="003804C3" w:rsidP="003804C3">
      <w:pPr>
        <w:rPr>
          <w:rFonts w:cstheme="minorHAnsi"/>
          <w:sz w:val="24"/>
          <w:szCs w:val="24"/>
        </w:rPr>
      </w:pPr>
      <w:r w:rsidRPr="00CA4DA0">
        <w:rPr>
          <w:rFonts w:cstheme="minorHAnsi"/>
          <w:sz w:val="24"/>
          <w:szCs w:val="24"/>
        </w:rPr>
        <w:t>Source: World Inequality Database</w:t>
      </w:r>
    </w:p>
    <w:p w14:paraId="7746CDEA" w14:textId="77777777" w:rsidR="003804C3" w:rsidRPr="00CA4DA0" w:rsidRDefault="003804C3" w:rsidP="003804C3">
      <w:pPr>
        <w:rPr>
          <w:rFonts w:cstheme="minorHAnsi"/>
          <w:sz w:val="24"/>
          <w:szCs w:val="24"/>
        </w:rPr>
      </w:pPr>
    </w:p>
    <w:p w14:paraId="55474BAE" w14:textId="5F6CD3DC" w:rsidR="003804C3" w:rsidRPr="00CA4DA0" w:rsidRDefault="004326EE" w:rsidP="00357F2B">
      <w:pPr>
        <w:spacing w:line="240" w:lineRule="auto"/>
        <w:jc w:val="center"/>
        <w:rPr>
          <w:rFonts w:cstheme="minorHAnsi"/>
          <w:sz w:val="24"/>
          <w:szCs w:val="24"/>
        </w:rPr>
      </w:pPr>
      <w:r w:rsidRPr="00CA4DA0">
        <w:rPr>
          <w:rFonts w:cstheme="minorHAnsi"/>
          <w:noProof/>
          <w:sz w:val="24"/>
          <w:szCs w:val="24"/>
        </w:rPr>
        <w:drawing>
          <wp:inline distT="0" distB="0" distL="0" distR="0" wp14:anchorId="60117091" wp14:editId="7E4864C5">
            <wp:extent cx="4270248" cy="290779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270248" cy="2907792"/>
                    </a:xfrm>
                    <a:prstGeom prst="rect">
                      <a:avLst/>
                    </a:prstGeom>
                    <a:noFill/>
                  </pic:spPr>
                </pic:pic>
              </a:graphicData>
            </a:graphic>
          </wp:inline>
        </w:drawing>
      </w:r>
    </w:p>
    <w:p w14:paraId="6D089216" w14:textId="073FE028" w:rsidR="003A55CE" w:rsidRPr="00CA4DA0" w:rsidRDefault="003A55CE" w:rsidP="0060749E">
      <w:pPr>
        <w:spacing w:line="240" w:lineRule="auto"/>
        <w:rPr>
          <w:rFonts w:cstheme="minorHAnsi"/>
          <w:sz w:val="24"/>
          <w:szCs w:val="24"/>
        </w:rPr>
      </w:pPr>
      <w:r w:rsidRPr="00CA4DA0">
        <w:rPr>
          <w:rFonts w:cstheme="minorHAnsi"/>
          <w:sz w:val="24"/>
          <w:szCs w:val="24"/>
        </w:rPr>
        <w:t xml:space="preserve">Figure </w:t>
      </w:r>
      <w:r w:rsidR="008A626C">
        <w:rPr>
          <w:rFonts w:cstheme="minorHAnsi"/>
          <w:sz w:val="24"/>
          <w:szCs w:val="24"/>
        </w:rPr>
        <w:t>7</w:t>
      </w:r>
      <w:r w:rsidRPr="00CA4DA0">
        <w:rPr>
          <w:rFonts w:cstheme="minorHAnsi"/>
          <w:sz w:val="24"/>
          <w:szCs w:val="24"/>
        </w:rPr>
        <w:t>. Liabilities to GDP in the United States, 1916-2017</w:t>
      </w:r>
    </w:p>
    <w:p w14:paraId="6355BC58" w14:textId="77777777" w:rsidR="003A55CE" w:rsidRPr="00CA4DA0" w:rsidRDefault="003A55CE" w:rsidP="003A55CE">
      <w:pPr>
        <w:rPr>
          <w:rFonts w:cstheme="minorHAnsi"/>
          <w:sz w:val="24"/>
          <w:szCs w:val="24"/>
        </w:rPr>
      </w:pPr>
      <w:r w:rsidRPr="00CA4DA0">
        <w:rPr>
          <w:rFonts w:cstheme="minorHAnsi"/>
          <w:sz w:val="24"/>
          <w:szCs w:val="24"/>
        </w:rPr>
        <w:t xml:space="preserve">Sources: </w:t>
      </w:r>
      <w:r w:rsidRPr="00CA4DA0">
        <w:rPr>
          <w:rFonts w:cstheme="minorHAnsi"/>
          <w:i/>
          <w:iCs/>
          <w:sz w:val="24"/>
          <w:szCs w:val="24"/>
        </w:rPr>
        <w:t>Historical Statistics of the United States: Millennium Edition</w:t>
      </w:r>
      <w:r w:rsidRPr="00CA4DA0">
        <w:rPr>
          <w:rFonts w:cstheme="minorHAnsi"/>
          <w:sz w:val="24"/>
          <w:szCs w:val="24"/>
        </w:rPr>
        <w:t xml:space="preserve"> (Tables Ca9-19, Ce42-68, Cj265-272, Cj362-374, Cj389-397, Cj437-447, Cj748-750, Cj751-765, Cj787-796, and Cj870-889), </w:t>
      </w:r>
      <w:r w:rsidRPr="00CA4DA0">
        <w:rPr>
          <w:rFonts w:cstheme="minorHAnsi"/>
          <w:i/>
          <w:iCs/>
          <w:sz w:val="24"/>
          <w:szCs w:val="24"/>
        </w:rPr>
        <w:lastRenderedPageBreak/>
        <w:t>Historical Statistics of the United States: Colonial Times to 1970</w:t>
      </w:r>
      <w:r w:rsidRPr="00CA4DA0">
        <w:rPr>
          <w:rFonts w:cstheme="minorHAnsi"/>
          <w:sz w:val="24"/>
          <w:szCs w:val="24"/>
        </w:rPr>
        <w:t xml:space="preserve"> (Series X 689-697), NIPA, Flow of Funds (from 1945).</w:t>
      </w:r>
    </w:p>
    <w:p w14:paraId="6B275821" w14:textId="6D96137E" w:rsidR="003A55CE" w:rsidRPr="00CA4DA0" w:rsidRDefault="003A55CE" w:rsidP="003A55CE">
      <w:pPr>
        <w:rPr>
          <w:rFonts w:cstheme="minorHAnsi"/>
          <w:sz w:val="24"/>
          <w:szCs w:val="24"/>
        </w:rPr>
      </w:pPr>
      <w:r w:rsidRPr="00CA4DA0">
        <w:rPr>
          <w:rFonts w:cstheme="minorHAnsi"/>
          <w:sz w:val="24"/>
          <w:szCs w:val="24"/>
        </w:rPr>
        <w:t>Note: The government sector excludes all financial activities of the government (retirement funds, GNMA, etc.). GSE sector includes government-sponsored enterprises and agency- and GSE-backed mortgage pools (includes, among others, GNMA and FHA pools). "Financial" excludes the GSE sector and monetary authorities (which are both part of the financial sector in the Flow of Funds accounts). Before 1945, data for financial institutions is computed from data of the Census Bureau by taking all the liabilities (excluding equity) of commercial banks, credit unions, savings institutions, life insurance stock companies, and property and life insurance companies, and by removing private banks notes, all deposits, and life insurance reserves. From 1945, the total liabilities of the financial sector excludes, net interbank liabilities of commercial banks, liabilities of monetary authorities, private and public pension fund liabilit</w:t>
      </w:r>
      <w:r w:rsidR="00CA4103" w:rsidRPr="00CA4DA0">
        <w:rPr>
          <w:rFonts w:cstheme="minorHAnsi"/>
          <w:sz w:val="24"/>
          <w:szCs w:val="24"/>
        </w:rPr>
        <w:t>i</w:t>
      </w:r>
      <w:r w:rsidRPr="00CA4DA0">
        <w:rPr>
          <w:rFonts w:cstheme="minorHAnsi"/>
          <w:sz w:val="24"/>
          <w:szCs w:val="24"/>
        </w:rPr>
        <w:t>es, money market mutual funds shares, mutual funds shares and the items previously cited. The liabilities of monetary authorities are not included anywhere.</w:t>
      </w:r>
    </w:p>
    <w:p w14:paraId="3A9AE526" w14:textId="7584E421" w:rsidR="003A55CE" w:rsidRPr="00CA4DA0" w:rsidRDefault="003A55CE" w:rsidP="0060749E">
      <w:pPr>
        <w:spacing w:line="240" w:lineRule="auto"/>
        <w:rPr>
          <w:rFonts w:cstheme="minorHAnsi"/>
          <w:sz w:val="24"/>
          <w:szCs w:val="24"/>
        </w:rPr>
      </w:pPr>
    </w:p>
    <w:p w14:paraId="77BE8CC9" w14:textId="77777777" w:rsidR="000016B8" w:rsidRPr="00CA4DA0" w:rsidRDefault="000016B8" w:rsidP="0060749E">
      <w:pPr>
        <w:spacing w:line="240" w:lineRule="auto"/>
        <w:rPr>
          <w:rFonts w:cstheme="minorHAnsi"/>
          <w:sz w:val="24"/>
          <w:szCs w:val="24"/>
        </w:rPr>
      </w:pPr>
    </w:p>
    <w:p w14:paraId="079EFC75" w14:textId="77777777" w:rsidR="000016B8" w:rsidRPr="00CA4DA0" w:rsidRDefault="000016B8" w:rsidP="0060749E">
      <w:pPr>
        <w:spacing w:line="240" w:lineRule="auto"/>
        <w:rPr>
          <w:rFonts w:cstheme="minorHAnsi"/>
          <w:sz w:val="24"/>
          <w:szCs w:val="24"/>
        </w:rPr>
      </w:pPr>
    </w:p>
    <w:p w14:paraId="0630AD3E" w14:textId="7FB9B088" w:rsidR="00F37526" w:rsidRPr="00CA4DA0" w:rsidRDefault="00F37526" w:rsidP="0060749E">
      <w:pPr>
        <w:spacing w:line="240" w:lineRule="auto"/>
        <w:rPr>
          <w:rFonts w:cstheme="minorHAnsi"/>
          <w:sz w:val="24"/>
          <w:szCs w:val="24"/>
        </w:rPr>
      </w:pPr>
    </w:p>
    <w:p w14:paraId="75496D28" w14:textId="11B64553" w:rsidR="000016B8" w:rsidRPr="00CA4DA0" w:rsidRDefault="00F442CD" w:rsidP="008A626C">
      <w:pPr>
        <w:spacing w:line="240" w:lineRule="auto"/>
        <w:jc w:val="center"/>
        <w:rPr>
          <w:rFonts w:cstheme="minorHAnsi"/>
          <w:sz w:val="24"/>
          <w:szCs w:val="24"/>
        </w:rPr>
      </w:pPr>
      <w:r w:rsidRPr="00CA4DA0">
        <w:rPr>
          <w:rFonts w:cstheme="minorHAnsi"/>
          <w:noProof/>
          <w:sz w:val="24"/>
          <w:szCs w:val="24"/>
        </w:rPr>
        <w:lastRenderedPageBreak/>
        <w:drawing>
          <wp:inline distT="0" distB="0" distL="0" distR="0" wp14:anchorId="386912CB" wp14:editId="4244E801">
            <wp:extent cx="4075050" cy="5568364"/>
            <wp:effectExtent l="0" t="0" r="190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oadmap to zero emission.png"/>
                    <pic:cNvPicPr/>
                  </pic:nvPicPr>
                  <pic:blipFill>
                    <a:blip r:embed="rId19" cstate="print">
                      <a:extLst>
                        <a:ext uri="{BEBA8EAE-BF5A-486C-A8C5-ECC9F3942E4B}">
                          <a14:imgProps xmlns:a14="http://schemas.microsoft.com/office/drawing/2010/main">
                            <a14:imgLayer r:embed="rId20">
                              <a14:imgEffect>
                                <a14:sharpenSoften amount="25000"/>
                              </a14:imgEffect>
                              <a14:imgEffect>
                                <a14:colorTemperature colorTemp="4700"/>
                              </a14:imgEffect>
                              <a14:imgEffect>
                                <a14:saturation sat="0"/>
                              </a14:imgEffect>
                              <a14:imgEffect>
                                <a14:brightnessContrast bright="13000"/>
                              </a14:imgEffect>
                            </a14:imgLayer>
                          </a14:imgProps>
                        </a:ext>
                        <a:ext uri="{28A0092B-C50C-407E-A947-70E740481C1C}">
                          <a14:useLocalDpi xmlns:a14="http://schemas.microsoft.com/office/drawing/2010/main" val="0"/>
                        </a:ext>
                      </a:extLst>
                    </a:blip>
                    <a:stretch>
                      <a:fillRect/>
                    </a:stretch>
                  </pic:blipFill>
                  <pic:spPr>
                    <a:xfrm>
                      <a:off x="0" y="0"/>
                      <a:ext cx="4078202" cy="5572671"/>
                    </a:xfrm>
                    <a:prstGeom prst="rect">
                      <a:avLst/>
                    </a:prstGeom>
                  </pic:spPr>
                </pic:pic>
              </a:graphicData>
            </a:graphic>
          </wp:inline>
        </w:drawing>
      </w:r>
    </w:p>
    <w:p w14:paraId="61043745" w14:textId="6DCC6A0F" w:rsidR="00773C9F" w:rsidRPr="00CA4DA0" w:rsidRDefault="008A626C" w:rsidP="0060749E">
      <w:pPr>
        <w:spacing w:line="240" w:lineRule="auto"/>
        <w:rPr>
          <w:rFonts w:cstheme="minorHAnsi"/>
          <w:sz w:val="24"/>
          <w:szCs w:val="24"/>
        </w:rPr>
      </w:pPr>
      <w:r>
        <w:rPr>
          <w:rFonts w:cstheme="minorHAnsi"/>
          <w:sz w:val="24"/>
          <w:szCs w:val="24"/>
        </w:rPr>
        <w:t>Figure 8</w:t>
      </w:r>
      <w:r w:rsidR="00773C9F" w:rsidRPr="00CA4DA0">
        <w:rPr>
          <w:rFonts w:cstheme="minorHAnsi"/>
          <w:sz w:val="24"/>
          <w:szCs w:val="24"/>
        </w:rPr>
        <w:t>. Roadmap to Net Zero Emission by 2050 (</w:t>
      </w:r>
      <w:r w:rsidR="00CA4103" w:rsidRPr="00CA4DA0">
        <w:rPr>
          <w:rFonts w:cstheme="minorHAnsi"/>
          <w:sz w:val="24"/>
          <w:szCs w:val="24"/>
        </w:rPr>
        <w:t>consistent</w:t>
      </w:r>
      <w:r w:rsidR="00773C9F" w:rsidRPr="00CA4DA0">
        <w:rPr>
          <w:rFonts w:cstheme="minorHAnsi"/>
          <w:sz w:val="24"/>
          <w:szCs w:val="24"/>
        </w:rPr>
        <w:t xml:space="preserve"> with a +1.5c warming of the planet)</w:t>
      </w:r>
    </w:p>
    <w:p w14:paraId="188E34A1" w14:textId="14E99BA1" w:rsidR="00F442CD" w:rsidRPr="00CA4DA0" w:rsidRDefault="00F442CD" w:rsidP="0060749E">
      <w:pPr>
        <w:spacing w:line="240" w:lineRule="auto"/>
        <w:rPr>
          <w:rFonts w:cstheme="minorHAnsi"/>
          <w:sz w:val="24"/>
          <w:szCs w:val="24"/>
        </w:rPr>
      </w:pPr>
      <w:r w:rsidRPr="00CA4DA0">
        <w:rPr>
          <w:rFonts w:cstheme="minorHAnsi"/>
          <w:sz w:val="24"/>
          <w:szCs w:val="24"/>
        </w:rPr>
        <w:t>Source: International Energy Agency (2021)</w:t>
      </w:r>
    </w:p>
    <w:sectPr w:rsidR="00F442CD" w:rsidRPr="00CA4DA0">
      <w:footerReference w:type="default" r:id="rId21"/>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larry wray" w:date="2021-06-11T20:09:00Z" w:initials="lw">
    <w:p w14:paraId="0A0284D8" w14:textId="514DB566" w:rsidR="00E97E3D" w:rsidRDefault="002112B7">
      <w:pPr>
        <w:pStyle w:val="CommentText"/>
      </w:pPr>
      <w:r>
        <w:rPr>
          <w:rStyle w:val="CommentReference"/>
        </w:rPr>
        <w:annotationRef/>
      </w:r>
      <w:r w:rsidR="005D656A">
        <w:t>Here can say “see Wray in this volume”</w:t>
      </w:r>
    </w:p>
  </w:comment>
  <w:comment w:id="2" w:author="Eric Tymoigne" w:date="2021-06-12T10:09:00Z" w:initials="ET">
    <w:p w14:paraId="6CAEB3FE" w14:textId="2F266EC3" w:rsidR="00E97E3D" w:rsidRDefault="00E97E3D">
      <w:pPr>
        <w:pStyle w:val="CommentText"/>
      </w:pPr>
      <w:r>
        <w:rPr>
          <w:rStyle w:val="CommentReference"/>
        </w:rPr>
        <w:annotationRef/>
      </w:r>
      <w:r>
        <w:t>Yes</w:t>
      </w:r>
    </w:p>
  </w:comment>
  <w:comment w:id="3" w:author="larry wray" w:date="2021-06-11T20:10:00Z" w:initials="lw">
    <w:p w14:paraId="4D21AA76" w14:textId="0627A540" w:rsidR="00F40C69" w:rsidRDefault="00F40C69">
      <w:pPr>
        <w:pStyle w:val="CommentText"/>
      </w:pPr>
      <w:r>
        <w:rPr>
          <w:rStyle w:val="CommentReference"/>
        </w:rPr>
        <w:annotationRef/>
      </w:r>
      <w:r>
        <w:t>Here too, see chapter by wray</w:t>
      </w:r>
    </w:p>
  </w:comment>
  <w:comment w:id="4" w:author="Eric Tymoigne" w:date="2021-06-12T10:09:00Z" w:initials="ET">
    <w:p w14:paraId="168E1478" w14:textId="26EE0610" w:rsidR="00E97E3D" w:rsidRDefault="00E97E3D">
      <w:pPr>
        <w:pStyle w:val="CommentText"/>
      </w:pPr>
      <w:r>
        <w:rPr>
          <w:rStyle w:val="CommentReference"/>
        </w:rPr>
        <w:annotationRef/>
      </w:r>
      <w:r>
        <w:t>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A0284D8" w15:done="0"/>
  <w15:commentEx w15:paraId="6CAEB3FE" w15:paraIdParent="0A0284D8" w15:done="0"/>
  <w15:commentEx w15:paraId="4D21AA76" w15:done="0"/>
  <w15:commentEx w15:paraId="168E1478" w15:paraIdParent="4D21AA7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6E373A" w16cex:dateUtc="2021-06-12T02:25:00Z"/>
  <w16cex:commentExtensible w16cex:durableId="246E3E9B" w16cex:dateUtc="2021-06-12T02:57:00Z"/>
  <w16cex:commentExtensible w16cex:durableId="246E3ECC" w16cex:dateUtc="2021-06-12T02:58:00Z"/>
  <w16cex:commentExtensible w16cex:durableId="246E3EE8" w16cex:dateUtc="2021-06-12T02:58:00Z"/>
  <w16cex:commentExtensible w16cex:durableId="246E4152" w16cex:dateUtc="2021-06-12T03:08:00Z"/>
  <w16cex:commentExtensible w16cex:durableId="246E4191" w16cex:dateUtc="2021-06-12T03:09:00Z"/>
  <w16cex:commentExtensible w16cex:durableId="246E41B9" w16cex:dateUtc="2021-06-12T03: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22C175A" w16cid:durableId="246E373A"/>
  <w16cid:commentId w16cid:paraId="52BF63C7" w16cid:durableId="246E3E9B"/>
  <w16cid:commentId w16cid:paraId="4B70F2E4" w16cid:durableId="246E3ECC"/>
  <w16cid:commentId w16cid:paraId="6E97A83B" w16cid:durableId="246E3EE8"/>
  <w16cid:commentId w16cid:paraId="675158DD" w16cid:durableId="246E4152"/>
  <w16cid:commentId w16cid:paraId="267DA462" w16cid:durableId="246E4191"/>
  <w16cid:commentId w16cid:paraId="4D21AA76" w16cid:durableId="246E41B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283A98" w14:textId="77777777" w:rsidR="0030378C" w:rsidRDefault="0030378C" w:rsidP="00DF3273">
      <w:pPr>
        <w:spacing w:after="0" w:line="240" w:lineRule="auto"/>
      </w:pPr>
      <w:r>
        <w:separator/>
      </w:r>
    </w:p>
  </w:endnote>
  <w:endnote w:type="continuationSeparator" w:id="0">
    <w:p w14:paraId="1B2C1C35" w14:textId="77777777" w:rsidR="0030378C" w:rsidRDefault="0030378C" w:rsidP="00DF32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4320280"/>
      <w:docPartObj>
        <w:docPartGallery w:val="Page Numbers (Bottom of Page)"/>
        <w:docPartUnique/>
      </w:docPartObj>
    </w:sdtPr>
    <w:sdtEndPr>
      <w:rPr>
        <w:noProof/>
      </w:rPr>
    </w:sdtEndPr>
    <w:sdtContent>
      <w:p w14:paraId="641FFD7F" w14:textId="0F21B120" w:rsidR="00612D5A" w:rsidRDefault="00612D5A">
        <w:pPr>
          <w:pStyle w:val="Footer"/>
        </w:pPr>
        <w:r>
          <w:fldChar w:fldCharType="begin"/>
        </w:r>
        <w:r>
          <w:instrText xml:space="preserve"> PAGE   \* MERGEFORMAT </w:instrText>
        </w:r>
        <w:r>
          <w:fldChar w:fldCharType="separate"/>
        </w:r>
        <w:r w:rsidR="007C4551">
          <w:rPr>
            <w:noProof/>
          </w:rPr>
          <w:t>2</w:t>
        </w:r>
        <w:r>
          <w:rPr>
            <w:noProof/>
          </w:rPr>
          <w:fldChar w:fldCharType="end"/>
        </w:r>
      </w:p>
    </w:sdtContent>
  </w:sdt>
  <w:p w14:paraId="2B397426" w14:textId="77777777" w:rsidR="00612D5A" w:rsidRDefault="00612D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B2FFED" w14:textId="77777777" w:rsidR="0030378C" w:rsidRDefault="0030378C" w:rsidP="00DF3273">
      <w:pPr>
        <w:spacing w:after="0" w:line="240" w:lineRule="auto"/>
      </w:pPr>
      <w:r>
        <w:separator/>
      </w:r>
    </w:p>
  </w:footnote>
  <w:footnote w:type="continuationSeparator" w:id="0">
    <w:p w14:paraId="372A36B3" w14:textId="77777777" w:rsidR="0030378C" w:rsidRDefault="0030378C" w:rsidP="00DF3273">
      <w:pPr>
        <w:spacing w:after="0" w:line="240" w:lineRule="auto"/>
      </w:pPr>
      <w:r>
        <w:continuationSeparator/>
      </w:r>
    </w:p>
  </w:footnote>
  <w:footnote w:id="1">
    <w:p w14:paraId="04FCC44A" w14:textId="1A7ABF6C" w:rsidR="00612D5A" w:rsidRPr="007C4551" w:rsidRDefault="00612D5A">
      <w:pPr>
        <w:pStyle w:val="FootnoteText"/>
      </w:pPr>
      <w:r w:rsidRPr="007C4551">
        <w:rPr>
          <w:rStyle w:val="FootnoteReference"/>
        </w:rPr>
        <w:footnoteRef/>
      </w:r>
      <w:r w:rsidRPr="007C4551">
        <w:t xml:space="preserve"> For example, see Agustino Fontevecchia “PIMCO's Bill Gross Shorts Treasuries As Experts Eye Inflation” </w:t>
      </w:r>
      <w:r w:rsidRPr="007C4551">
        <w:rPr>
          <w:i/>
        </w:rPr>
        <w:t>Forbes.com</w:t>
      </w:r>
      <w:r w:rsidRPr="007C4551">
        <w:t xml:space="preserve"> (April 11, 2011). Bill Gross’s position has not changed 10 years later, see Emily Graffeo “Bill Gross is shorting US Treasurys and says inflation will be as high as 4% in coming months” </w:t>
      </w:r>
      <w:r w:rsidRPr="007C4551">
        <w:rPr>
          <w:i/>
        </w:rPr>
        <w:t>Business Insider</w:t>
      </w:r>
      <w:r w:rsidRPr="007C4551">
        <w:t xml:space="preserve"> (May 17, 2021).</w:t>
      </w:r>
    </w:p>
  </w:footnote>
  <w:footnote w:id="2">
    <w:p w14:paraId="332FEC80" w14:textId="7BA489DB" w:rsidR="00612D5A" w:rsidRPr="007C4551" w:rsidRDefault="00612D5A">
      <w:pPr>
        <w:pStyle w:val="FootnoteText"/>
      </w:pPr>
      <w:r w:rsidRPr="007C4551">
        <w:rPr>
          <w:rStyle w:val="FootnoteReference"/>
        </w:rPr>
        <w:footnoteRef/>
      </w:r>
      <w:r w:rsidRPr="007C4551">
        <w:t xml:space="preserve"> </w:t>
      </w:r>
      <w:r w:rsidRPr="007C4551">
        <w:rPr>
          <w:rFonts w:cstheme="minorHAnsi"/>
        </w:rPr>
        <w:t xml:space="preserve">See John Ainger “Bond World Is Backing Away From All That Negativity as 2019 Ends” </w:t>
      </w:r>
      <w:r w:rsidRPr="007C4551">
        <w:rPr>
          <w:rFonts w:cstheme="minorHAnsi"/>
          <w:i/>
        </w:rPr>
        <w:t>Bloomberg</w:t>
      </w:r>
      <w:r w:rsidRPr="007C4551">
        <w:rPr>
          <w:rFonts w:cstheme="minorHAnsi"/>
        </w:rPr>
        <w:t xml:space="preserve"> (December 23, 2019); Eric Lascelles “Adapting Investme</w:t>
      </w:r>
      <w:bookmarkStart w:id="0" w:name="_GoBack"/>
      <w:bookmarkEnd w:id="0"/>
      <w:r w:rsidRPr="007C4551">
        <w:rPr>
          <w:rFonts w:cstheme="minorHAnsi"/>
        </w:rPr>
        <w:t xml:space="preserve">nt Strategy to the Negative Yield Environment,” </w:t>
      </w:r>
      <w:r w:rsidRPr="007C4551">
        <w:rPr>
          <w:rFonts w:cstheme="minorHAnsi"/>
          <w:i/>
        </w:rPr>
        <w:t>RBC Wealth Management</w:t>
      </w:r>
      <w:r w:rsidRPr="007C4551">
        <w:rPr>
          <w:rFonts w:cstheme="minorHAnsi"/>
        </w:rPr>
        <w:t xml:space="preserve"> (November 20, 2019); </w:t>
      </w:r>
      <w:r w:rsidRPr="007C4551">
        <w:t>Dhara Ranasinghe</w:t>
      </w:r>
      <w:r w:rsidRPr="007C4551" w:rsidDel="00047AFE">
        <w:rPr>
          <w:rFonts w:cstheme="minorHAnsi"/>
        </w:rPr>
        <w:t xml:space="preserve"> </w:t>
      </w:r>
      <w:r w:rsidRPr="007C4551">
        <w:rPr>
          <w:rFonts w:cstheme="minorHAnsi"/>
        </w:rPr>
        <w:t xml:space="preserve">“Almost 70% of Euro Zone Bond Yields Have Sub-Zero Yields – Tradeweb,” </w:t>
      </w:r>
      <w:r w:rsidRPr="007C4551">
        <w:rPr>
          <w:rFonts w:cstheme="minorHAnsi"/>
          <w:i/>
        </w:rPr>
        <w:t>Reuters</w:t>
      </w:r>
      <w:r w:rsidRPr="007C4551">
        <w:rPr>
          <w:rFonts w:cstheme="minorHAnsi"/>
        </w:rPr>
        <w:t xml:space="preserve"> (</w:t>
      </w:r>
      <w:r w:rsidRPr="007C4551">
        <w:t xml:space="preserve">October 3, 2019). Laura Benitez and Tasos Vossos “Sub-Zero Yields Start Taking Hold in Europe's Junk-Bond Market,” </w:t>
      </w:r>
      <w:r w:rsidRPr="007C4551">
        <w:rPr>
          <w:i/>
        </w:rPr>
        <w:t>Bloomberg</w:t>
      </w:r>
      <w:r w:rsidRPr="007C4551">
        <w:t xml:space="preserve"> (July 9, 2019).</w:t>
      </w:r>
    </w:p>
  </w:footnote>
  <w:footnote w:id="3">
    <w:p w14:paraId="74CAE76B" w14:textId="1BF906FA" w:rsidR="00C45F7F" w:rsidRPr="007C4551" w:rsidRDefault="00C45F7F">
      <w:pPr>
        <w:pStyle w:val="FootnoteText"/>
      </w:pPr>
      <w:r w:rsidRPr="007C4551">
        <w:rPr>
          <w:rStyle w:val="FootnoteReference"/>
        </w:rPr>
        <w:footnoteRef/>
      </w:r>
      <w:r w:rsidRPr="007C4551">
        <w:t xml:space="preserve"> </w:t>
      </w:r>
      <w:r w:rsidR="005D0905" w:rsidRPr="007C4551">
        <w:t>In 1942, t</w:t>
      </w:r>
      <w:r w:rsidRPr="007C4551">
        <w:t xml:space="preserve">he Federal Reserve and the U.S. Treasury </w:t>
      </w:r>
      <w:r w:rsidR="00EC3C48" w:rsidRPr="007C4551">
        <w:t xml:space="preserve">agreed on a monetary policy framework </w:t>
      </w:r>
      <w:r w:rsidR="006B582E" w:rsidRPr="007C4551">
        <w:t>that consisted in</w:t>
      </w:r>
      <w:r w:rsidR="00EC3C48" w:rsidRPr="007C4551">
        <w:t xml:space="preserve"> targeting the</w:t>
      </w:r>
      <w:r w:rsidR="005D0905" w:rsidRPr="007C4551">
        <w:t xml:space="preserve"> yield curve </w:t>
      </w:r>
      <w:r w:rsidR="00EC3C48" w:rsidRPr="007C4551">
        <w:t xml:space="preserve">and that </w:t>
      </w:r>
      <w:r w:rsidR="00237489" w:rsidRPr="007C4551">
        <w:t>required</w:t>
      </w:r>
      <w:r w:rsidR="00EC3C48" w:rsidRPr="007C4551">
        <w:t xml:space="preserve"> the preapproval</w:t>
      </w:r>
      <w:r w:rsidR="005D0905" w:rsidRPr="007C4551">
        <w:t xml:space="preserve"> of the Treasury to change </w:t>
      </w:r>
      <w:r w:rsidR="00EC3C48" w:rsidRPr="007C4551">
        <w:t>any</w:t>
      </w:r>
      <w:r w:rsidR="005D0905" w:rsidRPr="007C4551">
        <w:t xml:space="preserve"> interest rate targets</w:t>
      </w:r>
      <w:r w:rsidRPr="007C4551">
        <w:t xml:space="preserve">. </w:t>
      </w:r>
      <w:r w:rsidR="005D0905" w:rsidRPr="007C4551">
        <w:t>The Treasury-Federal Reserve Accord allow</w:t>
      </w:r>
      <w:r w:rsidR="00EC3C48" w:rsidRPr="007C4551">
        <w:t>ed</w:t>
      </w:r>
      <w:r w:rsidR="005D0905" w:rsidRPr="007C4551">
        <w:t xml:space="preserve"> the Federal Reserve to p</w:t>
      </w:r>
      <w:r w:rsidR="00EC3C48" w:rsidRPr="007C4551">
        <w:t>u</w:t>
      </w:r>
      <w:r w:rsidR="005D0905" w:rsidRPr="007C4551">
        <w:t xml:space="preserve">rsue </w:t>
      </w:r>
      <w:r w:rsidR="00237489" w:rsidRPr="007C4551">
        <w:t>a</w:t>
      </w:r>
      <w:r w:rsidR="005D0905" w:rsidRPr="007C4551">
        <w:t xml:space="preserve"> mo</w:t>
      </w:r>
      <w:r w:rsidR="00EC3C48" w:rsidRPr="007C4551">
        <w:t>r</w:t>
      </w:r>
      <w:r w:rsidR="005D0905" w:rsidRPr="007C4551">
        <w:t xml:space="preserve">e independent and active monetary policy </w:t>
      </w:r>
      <w:r w:rsidRPr="007C4551">
        <w:t xml:space="preserve">focused on </w:t>
      </w:r>
      <w:r w:rsidR="005D0905" w:rsidRPr="007C4551">
        <w:t xml:space="preserve">stabilizing money-market conditions. </w:t>
      </w:r>
      <w:r w:rsidR="00EC3C48" w:rsidRPr="007C4551">
        <w:t xml:space="preserve">Open market </w:t>
      </w:r>
      <w:r w:rsidR="006B582E" w:rsidRPr="007C4551">
        <w:t>operations</w:t>
      </w:r>
      <w:r w:rsidR="00EC3C48" w:rsidRPr="007C4551">
        <w:t xml:space="preserve"> developed in the 1950s</w:t>
      </w:r>
      <w:r w:rsidR="006B582E" w:rsidRPr="007C4551">
        <w:t xml:space="preserve"> and the Fed monitored the T-bill rate</w:t>
      </w:r>
      <w:r w:rsidR="00237489" w:rsidRPr="007C4551">
        <w:t xml:space="preserve"> without explicitely targeting it</w:t>
      </w:r>
      <w:r w:rsidR="006B582E" w:rsidRPr="007C4551">
        <w:t>. T</w:t>
      </w:r>
      <w:r w:rsidR="005D0905" w:rsidRPr="007C4551">
        <w:t>he FFR became an operating tool of monetary policy in the 19</w:t>
      </w:r>
      <w:r w:rsidR="005B228A" w:rsidRPr="007C4551">
        <w:t>7</w:t>
      </w:r>
      <w:r w:rsidR="005D0905" w:rsidRPr="007C4551">
        <w:t xml:space="preserve">0s as the overnight interbank market developed </w:t>
      </w:r>
      <w:r w:rsidR="005B228A" w:rsidRPr="007C4551">
        <w:t xml:space="preserve">in the 1960s </w:t>
      </w:r>
      <w:r w:rsidR="005D0905" w:rsidRPr="007C4551">
        <w:t>(Meulendyke 1998</w:t>
      </w:r>
      <w:r w:rsidR="005B228A" w:rsidRPr="007C4551">
        <w:t>, 35-45</w:t>
      </w:r>
      <w:r w:rsidR="005D0905" w:rsidRPr="007C4551">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B493F"/>
    <w:multiLevelType w:val="hybridMultilevel"/>
    <w:tmpl w:val="52D6490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61E4D12"/>
    <w:multiLevelType w:val="hybridMultilevel"/>
    <w:tmpl w:val="8448664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4377C7"/>
    <w:multiLevelType w:val="hybridMultilevel"/>
    <w:tmpl w:val="E530DE5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DE50479"/>
    <w:multiLevelType w:val="hybridMultilevel"/>
    <w:tmpl w:val="A35A4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arry wray">
    <w15:presenceInfo w15:providerId="Windows Live" w15:userId="f486bfbab81aadaa"/>
  </w15:person>
  <w15:person w15:author="Eric Tymoigne">
    <w15:presenceInfo w15:providerId="None" w15:userId="Eric Tymoign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722"/>
    <w:rsid w:val="000016B8"/>
    <w:rsid w:val="0001700D"/>
    <w:rsid w:val="000308E9"/>
    <w:rsid w:val="00044E3A"/>
    <w:rsid w:val="00047AFE"/>
    <w:rsid w:val="00084D84"/>
    <w:rsid w:val="0008514F"/>
    <w:rsid w:val="00085BFB"/>
    <w:rsid w:val="000B111C"/>
    <w:rsid w:val="000B3DDD"/>
    <w:rsid w:val="000B462D"/>
    <w:rsid w:val="000C0B61"/>
    <w:rsid w:val="000D519E"/>
    <w:rsid w:val="000E07CC"/>
    <w:rsid w:val="000F30D4"/>
    <w:rsid w:val="000F53E6"/>
    <w:rsid w:val="000F79CA"/>
    <w:rsid w:val="000F7AC0"/>
    <w:rsid w:val="001005DB"/>
    <w:rsid w:val="001419D2"/>
    <w:rsid w:val="00144310"/>
    <w:rsid w:val="00147BBB"/>
    <w:rsid w:val="001669A8"/>
    <w:rsid w:val="00166CCD"/>
    <w:rsid w:val="001702DA"/>
    <w:rsid w:val="00170EFB"/>
    <w:rsid w:val="00173F76"/>
    <w:rsid w:val="00184CD0"/>
    <w:rsid w:val="001851D0"/>
    <w:rsid w:val="00187091"/>
    <w:rsid w:val="00190376"/>
    <w:rsid w:val="0019708F"/>
    <w:rsid w:val="001A214B"/>
    <w:rsid w:val="001B009A"/>
    <w:rsid w:val="001B6C5E"/>
    <w:rsid w:val="001B7973"/>
    <w:rsid w:val="001C2D2C"/>
    <w:rsid w:val="001D4BB2"/>
    <w:rsid w:val="001E12A4"/>
    <w:rsid w:val="001E71FF"/>
    <w:rsid w:val="001F2235"/>
    <w:rsid w:val="001F36C6"/>
    <w:rsid w:val="001F7A73"/>
    <w:rsid w:val="00201499"/>
    <w:rsid w:val="002112B7"/>
    <w:rsid w:val="0021209F"/>
    <w:rsid w:val="00213233"/>
    <w:rsid w:val="00215604"/>
    <w:rsid w:val="00233A68"/>
    <w:rsid w:val="00235076"/>
    <w:rsid w:val="00235528"/>
    <w:rsid w:val="00237489"/>
    <w:rsid w:val="00257640"/>
    <w:rsid w:val="002747B5"/>
    <w:rsid w:val="00283021"/>
    <w:rsid w:val="00287E0B"/>
    <w:rsid w:val="00291358"/>
    <w:rsid w:val="00292229"/>
    <w:rsid w:val="00297D7D"/>
    <w:rsid w:val="002A2723"/>
    <w:rsid w:val="002C4268"/>
    <w:rsid w:val="002D427D"/>
    <w:rsid w:val="002E4447"/>
    <w:rsid w:val="002E5B56"/>
    <w:rsid w:val="002F20A3"/>
    <w:rsid w:val="002F46E9"/>
    <w:rsid w:val="0030362A"/>
    <w:rsid w:val="0030378C"/>
    <w:rsid w:val="003046D7"/>
    <w:rsid w:val="00307B7E"/>
    <w:rsid w:val="003109DF"/>
    <w:rsid w:val="00313271"/>
    <w:rsid w:val="00314CD1"/>
    <w:rsid w:val="003156D1"/>
    <w:rsid w:val="003366A0"/>
    <w:rsid w:val="00342EC0"/>
    <w:rsid w:val="00342FB0"/>
    <w:rsid w:val="003430AF"/>
    <w:rsid w:val="003444BD"/>
    <w:rsid w:val="00347F6F"/>
    <w:rsid w:val="00355E8D"/>
    <w:rsid w:val="00357F2B"/>
    <w:rsid w:val="0036240D"/>
    <w:rsid w:val="00365523"/>
    <w:rsid w:val="003666CF"/>
    <w:rsid w:val="003711F9"/>
    <w:rsid w:val="003804C3"/>
    <w:rsid w:val="003810B5"/>
    <w:rsid w:val="00397655"/>
    <w:rsid w:val="003A23C3"/>
    <w:rsid w:val="003A55CE"/>
    <w:rsid w:val="003B1B16"/>
    <w:rsid w:val="003B4D1D"/>
    <w:rsid w:val="003C7C94"/>
    <w:rsid w:val="003D296E"/>
    <w:rsid w:val="003E508E"/>
    <w:rsid w:val="003F156D"/>
    <w:rsid w:val="003F748E"/>
    <w:rsid w:val="004011B4"/>
    <w:rsid w:val="00413B19"/>
    <w:rsid w:val="00420E24"/>
    <w:rsid w:val="00423502"/>
    <w:rsid w:val="004239F9"/>
    <w:rsid w:val="00425115"/>
    <w:rsid w:val="00427A9D"/>
    <w:rsid w:val="004326EE"/>
    <w:rsid w:val="004540C9"/>
    <w:rsid w:val="00454CA2"/>
    <w:rsid w:val="00463A16"/>
    <w:rsid w:val="004656BE"/>
    <w:rsid w:val="00475E44"/>
    <w:rsid w:val="00486975"/>
    <w:rsid w:val="0048769D"/>
    <w:rsid w:val="004A1014"/>
    <w:rsid w:val="004A1596"/>
    <w:rsid w:val="004A2784"/>
    <w:rsid w:val="004A35A3"/>
    <w:rsid w:val="004C1ED1"/>
    <w:rsid w:val="004C367A"/>
    <w:rsid w:val="004C41FA"/>
    <w:rsid w:val="004C6A96"/>
    <w:rsid w:val="004C7B71"/>
    <w:rsid w:val="005117A4"/>
    <w:rsid w:val="00511C0A"/>
    <w:rsid w:val="00512B9B"/>
    <w:rsid w:val="00516722"/>
    <w:rsid w:val="00531F2E"/>
    <w:rsid w:val="0053436B"/>
    <w:rsid w:val="00534A8E"/>
    <w:rsid w:val="00546B53"/>
    <w:rsid w:val="00547600"/>
    <w:rsid w:val="005524C8"/>
    <w:rsid w:val="0056106B"/>
    <w:rsid w:val="0056474B"/>
    <w:rsid w:val="00564EFB"/>
    <w:rsid w:val="005658F6"/>
    <w:rsid w:val="0057020C"/>
    <w:rsid w:val="00577BD4"/>
    <w:rsid w:val="005879C8"/>
    <w:rsid w:val="005B02EE"/>
    <w:rsid w:val="005B228A"/>
    <w:rsid w:val="005C1D7A"/>
    <w:rsid w:val="005D0905"/>
    <w:rsid w:val="005D3C76"/>
    <w:rsid w:val="005D4127"/>
    <w:rsid w:val="005D6266"/>
    <w:rsid w:val="005D656A"/>
    <w:rsid w:val="005F0A70"/>
    <w:rsid w:val="005F1DC8"/>
    <w:rsid w:val="005F4AEC"/>
    <w:rsid w:val="00601296"/>
    <w:rsid w:val="006049F3"/>
    <w:rsid w:val="0060749E"/>
    <w:rsid w:val="00612D5A"/>
    <w:rsid w:val="00632363"/>
    <w:rsid w:val="00651099"/>
    <w:rsid w:val="00653342"/>
    <w:rsid w:val="00670904"/>
    <w:rsid w:val="00684136"/>
    <w:rsid w:val="006963CE"/>
    <w:rsid w:val="006B1A96"/>
    <w:rsid w:val="006B582E"/>
    <w:rsid w:val="006B6BD9"/>
    <w:rsid w:val="006B7C6B"/>
    <w:rsid w:val="006E1D7B"/>
    <w:rsid w:val="006F3B86"/>
    <w:rsid w:val="00702D5E"/>
    <w:rsid w:val="0071252A"/>
    <w:rsid w:val="0071326D"/>
    <w:rsid w:val="007206C0"/>
    <w:rsid w:val="00721E80"/>
    <w:rsid w:val="00730467"/>
    <w:rsid w:val="0073191A"/>
    <w:rsid w:val="007322EE"/>
    <w:rsid w:val="00735961"/>
    <w:rsid w:val="007361EB"/>
    <w:rsid w:val="00742E74"/>
    <w:rsid w:val="0075484A"/>
    <w:rsid w:val="00755604"/>
    <w:rsid w:val="00756182"/>
    <w:rsid w:val="007564E8"/>
    <w:rsid w:val="007614B3"/>
    <w:rsid w:val="00764353"/>
    <w:rsid w:val="00773C9F"/>
    <w:rsid w:val="0077625F"/>
    <w:rsid w:val="00777A47"/>
    <w:rsid w:val="00787F6E"/>
    <w:rsid w:val="00793F82"/>
    <w:rsid w:val="00794E71"/>
    <w:rsid w:val="007A1E58"/>
    <w:rsid w:val="007A3C6B"/>
    <w:rsid w:val="007A4CF4"/>
    <w:rsid w:val="007B57FA"/>
    <w:rsid w:val="007B64CD"/>
    <w:rsid w:val="007B6D79"/>
    <w:rsid w:val="007C4551"/>
    <w:rsid w:val="007C545A"/>
    <w:rsid w:val="007E6714"/>
    <w:rsid w:val="007F17E1"/>
    <w:rsid w:val="007F2722"/>
    <w:rsid w:val="007F4764"/>
    <w:rsid w:val="008106F8"/>
    <w:rsid w:val="00810FCB"/>
    <w:rsid w:val="008160B2"/>
    <w:rsid w:val="00816479"/>
    <w:rsid w:val="008360AC"/>
    <w:rsid w:val="00841A6D"/>
    <w:rsid w:val="0084497D"/>
    <w:rsid w:val="00851E3A"/>
    <w:rsid w:val="00857FEF"/>
    <w:rsid w:val="00860BF5"/>
    <w:rsid w:val="00875252"/>
    <w:rsid w:val="0089117E"/>
    <w:rsid w:val="008A626C"/>
    <w:rsid w:val="008C0A42"/>
    <w:rsid w:val="008C5781"/>
    <w:rsid w:val="008D5AEE"/>
    <w:rsid w:val="008E18FD"/>
    <w:rsid w:val="008E41D4"/>
    <w:rsid w:val="008E5094"/>
    <w:rsid w:val="008F0D97"/>
    <w:rsid w:val="00906A34"/>
    <w:rsid w:val="00917F66"/>
    <w:rsid w:val="00925D61"/>
    <w:rsid w:val="0093085F"/>
    <w:rsid w:val="0093648A"/>
    <w:rsid w:val="009527C7"/>
    <w:rsid w:val="009633FE"/>
    <w:rsid w:val="00966350"/>
    <w:rsid w:val="009663FC"/>
    <w:rsid w:val="00974BEF"/>
    <w:rsid w:val="00974CBC"/>
    <w:rsid w:val="0098103A"/>
    <w:rsid w:val="00997362"/>
    <w:rsid w:val="009A1AA2"/>
    <w:rsid w:val="009B2049"/>
    <w:rsid w:val="009B361B"/>
    <w:rsid w:val="009D34F4"/>
    <w:rsid w:val="009D49D4"/>
    <w:rsid w:val="009E1BCF"/>
    <w:rsid w:val="00A0344D"/>
    <w:rsid w:val="00A21436"/>
    <w:rsid w:val="00A21ED7"/>
    <w:rsid w:val="00A307E2"/>
    <w:rsid w:val="00A343BA"/>
    <w:rsid w:val="00A40821"/>
    <w:rsid w:val="00A425B2"/>
    <w:rsid w:val="00A47FCF"/>
    <w:rsid w:val="00A613A0"/>
    <w:rsid w:val="00A630C1"/>
    <w:rsid w:val="00A82D9D"/>
    <w:rsid w:val="00AA1D51"/>
    <w:rsid w:val="00AA2263"/>
    <w:rsid w:val="00AA2E33"/>
    <w:rsid w:val="00AA4F66"/>
    <w:rsid w:val="00AB2E1B"/>
    <w:rsid w:val="00AB610A"/>
    <w:rsid w:val="00AD5D4A"/>
    <w:rsid w:val="00AE2BF4"/>
    <w:rsid w:val="00AE6A80"/>
    <w:rsid w:val="00AE6AAD"/>
    <w:rsid w:val="00B26CA9"/>
    <w:rsid w:val="00B37528"/>
    <w:rsid w:val="00B6504D"/>
    <w:rsid w:val="00B70C87"/>
    <w:rsid w:val="00B92345"/>
    <w:rsid w:val="00B97FA0"/>
    <w:rsid w:val="00BA1053"/>
    <w:rsid w:val="00BA39CC"/>
    <w:rsid w:val="00BB103D"/>
    <w:rsid w:val="00BB19F3"/>
    <w:rsid w:val="00BB6982"/>
    <w:rsid w:val="00BE24E3"/>
    <w:rsid w:val="00BF3DA0"/>
    <w:rsid w:val="00BF5047"/>
    <w:rsid w:val="00C00724"/>
    <w:rsid w:val="00C02109"/>
    <w:rsid w:val="00C047AC"/>
    <w:rsid w:val="00C06C6F"/>
    <w:rsid w:val="00C06E2F"/>
    <w:rsid w:val="00C239F7"/>
    <w:rsid w:val="00C27136"/>
    <w:rsid w:val="00C45F7F"/>
    <w:rsid w:val="00C61D39"/>
    <w:rsid w:val="00C65343"/>
    <w:rsid w:val="00C67776"/>
    <w:rsid w:val="00C67B17"/>
    <w:rsid w:val="00C8468A"/>
    <w:rsid w:val="00C9669F"/>
    <w:rsid w:val="00CA30EC"/>
    <w:rsid w:val="00CA4103"/>
    <w:rsid w:val="00CA4DA0"/>
    <w:rsid w:val="00CB2456"/>
    <w:rsid w:val="00CC3FAA"/>
    <w:rsid w:val="00CC5897"/>
    <w:rsid w:val="00CD2FB4"/>
    <w:rsid w:val="00CD7E6D"/>
    <w:rsid w:val="00CE160E"/>
    <w:rsid w:val="00CE1F07"/>
    <w:rsid w:val="00CF0759"/>
    <w:rsid w:val="00CF791F"/>
    <w:rsid w:val="00D01781"/>
    <w:rsid w:val="00D01D57"/>
    <w:rsid w:val="00D0663E"/>
    <w:rsid w:val="00D071EC"/>
    <w:rsid w:val="00D12A6C"/>
    <w:rsid w:val="00D1369E"/>
    <w:rsid w:val="00D15295"/>
    <w:rsid w:val="00D22E13"/>
    <w:rsid w:val="00D24E84"/>
    <w:rsid w:val="00D4540B"/>
    <w:rsid w:val="00D548D4"/>
    <w:rsid w:val="00D61338"/>
    <w:rsid w:val="00D8482C"/>
    <w:rsid w:val="00D85FC9"/>
    <w:rsid w:val="00D87597"/>
    <w:rsid w:val="00D87B27"/>
    <w:rsid w:val="00D87F23"/>
    <w:rsid w:val="00D91F27"/>
    <w:rsid w:val="00D92BA4"/>
    <w:rsid w:val="00D97055"/>
    <w:rsid w:val="00DA0CB6"/>
    <w:rsid w:val="00DA237F"/>
    <w:rsid w:val="00DB4E35"/>
    <w:rsid w:val="00DC3149"/>
    <w:rsid w:val="00DD78C2"/>
    <w:rsid w:val="00DE02D2"/>
    <w:rsid w:val="00DE6903"/>
    <w:rsid w:val="00DF3273"/>
    <w:rsid w:val="00DF5DFD"/>
    <w:rsid w:val="00E05FAD"/>
    <w:rsid w:val="00E14727"/>
    <w:rsid w:val="00E20A14"/>
    <w:rsid w:val="00E31E58"/>
    <w:rsid w:val="00E334B8"/>
    <w:rsid w:val="00E3671C"/>
    <w:rsid w:val="00E51AA1"/>
    <w:rsid w:val="00E55F05"/>
    <w:rsid w:val="00E64776"/>
    <w:rsid w:val="00E70CE1"/>
    <w:rsid w:val="00E80924"/>
    <w:rsid w:val="00E83EE6"/>
    <w:rsid w:val="00E87080"/>
    <w:rsid w:val="00E97E3D"/>
    <w:rsid w:val="00EB3022"/>
    <w:rsid w:val="00EC0D78"/>
    <w:rsid w:val="00EC3C48"/>
    <w:rsid w:val="00ED6BAE"/>
    <w:rsid w:val="00EE55CB"/>
    <w:rsid w:val="00EF4B42"/>
    <w:rsid w:val="00EF7823"/>
    <w:rsid w:val="00F12531"/>
    <w:rsid w:val="00F232F3"/>
    <w:rsid w:val="00F37526"/>
    <w:rsid w:val="00F40B32"/>
    <w:rsid w:val="00F40C69"/>
    <w:rsid w:val="00F442CD"/>
    <w:rsid w:val="00F455E7"/>
    <w:rsid w:val="00F54DF9"/>
    <w:rsid w:val="00F719AA"/>
    <w:rsid w:val="00F83E10"/>
    <w:rsid w:val="00F847F5"/>
    <w:rsid w:val="00F93FB9"/>
    <w:rsid w:val="00FA0602"/>
    <w:rsid w:val="00FA4165"/>
    <w:rsid w:val="00FA4E25"/>
    <w:rsid w:val="00FB0A96"/>
    <w:rsid w:val="00FB11D9"/>
    <w:rsid w:val="00FB7343"/>
    <w:rsid w:val="00FC476A"/>
    <w:rsid w:val="00FD2FB5"/>
    <w:rsid w:val="00FD715C"/>
    <w:rsid w:val="00FE2D07"/>
    <w:rsid w:val="00FE45E9"/>
    <w:rsid w:val="00FF7B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97BD9"/>
  <w15:chartTrackingRefBased/>
  <w15:docId w15:val="{442FFCF7-CB5A-4456-B86E-9654F37EA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343BA"/>
    <w:pPr>
      <w:keepNext/>
      <w:keepLines/>
      <w:spacing w:before="240" w:after="0"/>
      <w:outlineLvl w:val="0"/>
    </w:pPr>
    <w:rPr>
      <w:rFonts w:asciiTheme="majorHAnsi" w:eastAsiaTheme="majorEastAsia" w:hAnsiTheme="majorHAnsi" w:cstheme="majorBidi"/>
      <w:b/>
      <w:sz w:val="32"/>
      <w:szCs w:val="32"/>
      <w:u w:val="double"/>
    </w:rPr>
  </w:style>
  <w:style w:type="paragraph" w:styleId="Heading2">
    <w:name w:val="heading 2"/>
    <w:basedOn w:val="Normal"/>
    <w:next w:val="Normal"/>
    <w:link w:val="Heading2Char"/>
    <w:uiPriority w:val="9"/>
    <w:unhideWhenUsed/>
    <w:qFormat/>
    <w:rsid w:val="007322E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322E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3BA"/>
    <w:rPr>
      <w:rFonts w:asciiTheme="majorHAnsi" w:eastAsiaTheme="majorEastAsia" w:hAnsiTheme="majorHAnsi" w:cstheme="majorBidi"/>
      <w:b/>
      <w:sz w:val="32"/>
      <w:szCs w:val="32"/>
      <w:u w:val="double"/>
    </w:rPr>
  </w:style>
  <w:style w:type="character" w:customStyle="1" w:styleId="Heading2Char">
    <w:name w:val="Heading 2 Char"/>
    <w:basedOn w:val="DefaultParagraphFont"/>
    <w:link w:val="Heading2"/>
    <w:uiPriority w:val="9"/>
    <w:rsid w:val="007322E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322EE"/>
    <w:rPr>
      <w:rFonts w:asciiTheme="majorHAnsi" w:eastAsiaTheme="majorEastAsia" w:hAnsiTheme="majorHAnsi" w:cstheme="majorBidi"/>
      <w:color w:val="1F4D78" w:themeColor="accent1" w:themeShade="7F"/>
      <w:sz w:val="24"/>
      <w:szCs w:val="24"/>
    </w:rPr>
  </w:style>
  <w:style w:type="paragraph" w:styleId="Title">
    <w:name w:val="Title"/>
    <w:basedOn w:val="Normal"/>
    <w:next w:val="Normal"/>
    <w:link w:val="TitleChar"/>
    <w:uiPriority w:val="10"/>
    <w:qFormat/>
    <w:rsid w:val="007322EE"/>
    <w:pPr>
      <w:spacing w:after="0" w:line="240" w:lineRule="auto"/>
      <w:contextualSpacing/>
      <w:jc w:val="center"/>
    </w:pPr>
    <w:rPr>
      <w:rFonts w:asciiTheme="majorHAnsi" w:eastAsiaTheme="majorEastAsia" w:hAnsiTheme="majorHAnsi" w:cstheme="majorBidi"/>
      <w:b/>
      <w:spacing w:val="-10"/>
      <w:kern w:val="28"/>
      <w:sz w:val="56"/>
      <w:szCs w:val="56"/>
    </w:rPr>
  </w:style>
  <w:style w:type="character" w:customStyle="1" w:styleId="TitleChar">
    <w:name w:val="Title Char"/>
    <w:basedOn w:val="DefaultParagraphFont"/>
    <w:link w:val="Title"/>
    <w:uiPriority w:val="10"/>
    <w:rsid w:val="007322EE"/>
    <w:rPr>
      <w:rFonts w:asciiTheme="majorHAnsi" w:eastAsiaTheme="majorEastAsia" w:hAnsiTheme="majorHAnsi" w:cstheme="majorBidi"/>
      <w:b/>
      <w:spacing w:val="-10"/>
      <w:kern w:val="28"/>
      <w:sz w:val="56"/>
      <w:szCs w:val="56"/>
    </w:rPr>
  </w:style>
  <w:style w:type="paragraph" w:styleId="FootnoteText">
    <w:name w:val="footnote text"/>
    <w:basedOn w:val="Normal"/>
    <w:link w:val="FootnoteTextChar"/>
    <w:uiPriority w:val="99"/>
    <w:semiHidden/>
    <w:unhideWhenUsed/>
    <w:rsid w:val="00DF327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3273"/>
    <w:rPr>
      <w:sz w:val="20"/>
      <w:szCs w:val="20"/>
    </w:rPr>
  </w:style>
  <w:style w:type="character" w:styleId="FootnoteReference">
    <w:name w:val="footnote reference"/>
    <w:basedOn w:val="DefaultParagraphFont"/>
    <w:uiPriority w:val="99"/>
    <w:semiHidden/>
    <w:unhideWhenUsed/>
    <w:rsid w:val="00DF3273"/>
    <w:rPr>
      <w:vertAlign w:val="superscript"/>
    </w:rPr>
  </w:style>
  <w:style w:type="character" w:customStyle="1" w:styleId="authors">
    <w:name w:val="authors"/>
    <w:basedOn w:val="DefaultParagraphFont"/>
    <w:rsid w:val="00E80924"/>
  </w:style>
  <w:style w:type="character" w:customStyle="1" w:styleId="Date1">
    <w:name w:val="Date1"/>
    <w:basedOn w:val="DefaultParagraphFont"/>
    <w:rsid w:val="00E80924"/>
  </w:style>
  <w:style w:type="character" w:customStyle="1" w:styleId="arttitle">
    <w:name w:val="art_title"/>
    <w:basedOn w:val="DefaultParagraphFont"/>
    <w:rsid w:val="00E80924"/>
  </w:style>
  <w:style w:type="character" w:customStyle="1" w:styleId="serialtitle">
    <w:name w:val="serial_title"/>
    <w:basedOn w:val="DefaultParagraphFont"/>
    <w:rsid w:val="00E80924"/>
  </w:style>
  <w:style w:type="character" w:customStyle="1" w:styleId="volumeissue">
    <w:name w:val="volume_issue"/>
    <w:basedOn w:val="DefaultParagraphFont"/>
    <w:rsid w:val="00E80924"/>
  </w:style>
  <w:style w:type="character" w:customStyle="1" w:styleId="pagerange">
    <w:name w:val="page_range"/>
    <w:basedOn w:val="DefaultParagraphFont"/>
    <w:rsid w:val="00E80924"/>
  </w:style>
  <w:style w:type="character" w:customStyle="1" w:styleId="doilink">
    <w:name w:val="doi_link"/>
    <w:basedOn w:val="DefaultParagraphFont"/>
    <w:rsid w:val="00E80924"/>
  </w:style>
  <w:style w:type="character" w:styleId="Hyperlink">
    <w:name w:val="Hyperlink"/>
    <w:basedOn w:val="DefaultParagraphFont"/>
    <w:uiPriority w:val="99"/>
    <w:unhideWhenUsed/>
    <w:rsid w:val="00E80924"/>
    <w:rPr>
      <w:color w:val="0000FF"/>
      <w:u w:val="single"/>
    </w:rPr>
  </w:style>
  <w:style w:type="character" w:styleId="FollowedHyperlink">
    <w:name w:val="FollowedHyperlink"/>
    <w:basedOn w:val="DefaultParagraphFont"/>
    <w:uiPriority w:val="99"/>
    <w:semiHidden/>
    <w:unhideWhenUsed/>
    <w:rsid w:val="00670904"/>
    <w:rPr>
      <w:color w:val="954F72" w:themeColor="followedHyperlink"/>
      <w:u w:val="single"/>
    </w:rPr>
  </w:style>
  <w:style w:type="character" w:customStyle="1" w:styleId="css-901oao">
    <w:name w:val="css-901oao"/>
    <w:basedOn w:val="DefaultParagraphFont"/>
    <w:rsid w:val="00974CBC"/>
  </w:style>
  <w:style w:type="paragraph" w:styleId="ListParagraph">
    <w:name w:val="List Paragraph"/>
    <w:basedOn w:val="Normal"/>
    <w:uiPriority w:val="34"/>
    <w:qFormat/>
    <w:rsid w:val="00144310"/>
    <w:pPr>
      <w:ind w:left="720"/>
      <w:contextualSpacing/>
    </w:pPr>
  </w:style>
  <w:style w:type="paragraph" w:styleId="BalloonText">
    <w:name w:val="Balloon Text"/>
    <w:basedOn w:val="Normal"/>
    <w:link w:val="BalloonTextChar"/>
    <w:uiPriority w:val="99"/>
    <w:semiHidden/>
    <w:unhideWhenUsed/>
    <w:rsid w:val="007A3C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3C6B"/>
    <w:rPr>
      <w:rFonts w:ascii="Segoe UI" w:hAnsi="Segoe UI" w:cs="Segoe UI"/>
      <w:sz w:val="18"/>
      <w:szCs w:val="18"/>
    </w:rPr>
  </w:style>
  <w:style w:type="character" w:styleId="CommentReference">
    <w:name w:val="annotation reference"/>
    <w:basedOn w:val="DefaultParagraphFont"/>
    <w:uiPriority w:val="99"/>
    <w:semiHidden/>
    <w:unhideWhenUsed/>
    <w:rsid w:val="00355E8D"/>
    <w:rPr>
      <w:sz w:val="16"/>
      <w:szCs w:val="16"/>
    </w:rPr>
  </w:style>
  <w:style w:type="paragraph" w:styleId="CommentText">
    <w:name w:val="annotation text"/>
    <w:basedOn w:val="Normal"/>
    <w:link w:val="CommentTextChar"/>
    <w:uiPriority w:val="99"/>
    <w:semiHidden/>
    <w:unhideWhenUsed/>
    <w:rsid w:val="00355E8D"/>
    <w:pPr>
      <w:spacing w:line="240" w:lineRule="auto"/>
    </w:pPr>
    <w:rPr>
      <w:sz w:val="20"/>
      <w:szCs w:val="20"/>
    </w:rPr>
  </w:style>
  <w:style w:type="character" w:customStyle="1" w:styleId="CommentTextChar">
    <w:name w:val="Comment Text Char"/>
    <w:basedOn w:val="DefaultParagraphFont"/>
    <w:link w:val="CommentText"/>
    <w:uiPriority w:val="99"/>
    <w:semiHidden/>
    <w:rsid w:val="00355E8D"/>
    <w:rPr>
      <w:sz w:val="20"/>
      <w:szCs w:val="20"/>
    </w:rPr>
  </w:style>
  <w:style w:type="paragraph" w:styleId="CommentSubject">
    <w:name w:val="annotation subject"/>
    <w:basedOn w:val="CommentText"/>
    <w:next w:val="CommentText"/>
    <w:link w:val="CommentSubjectChar"/>
    <w:uiPriority w:val="99"/>
    <w:semiHidden/>
    <w:unhideWhenUsed/>
    <w:rsid w:val="00355E8D"/>
    <w:rPr>
      <w:b/>
      <w:bCs/>
    </w:rPr>
  </w:style>
  <w:style w:type="character" w:customStyle="1" w:styleId="CommentSubjectChar">
    <w:name w:val="Comment Subject Char"/>
    <w:basedOn w:val="CommentTextChar"/>
    <w:link w:val="CommentSubject"/>
    <w:uiPriority w:val="99"/>
    <w:semiHidden/>
    <w:rsid w:val="00355E8D"/>
    <w:rPr>
      <w:b/>
      <w:bCs/>
      <w:sz w:val="20"/>
      <w:szCs w:val="20"/>
    </w:rPr>
  </w:style>
  <w:style w:type="paragraph" w:styleId="Revision">
    <w:name w:val="Revision"/>
    <w:hidden/>
    <w:uiPriority w:val="99"/>
    <w:semiHidden/>
    <w:rsid w:val="00755604"/>
    <w:pPr>
      <w:spacing w:after="0" w:line="240" w:lineRule="auto"/>
    </w:pPr>
  </w:style>
  <w:style w:type="paragraph" w:styleId="Quote">
    <w:name w:val="Quote"/>
    <w:basedOn w:val="Normal"/>
    <w:next w:val="Normal"/>
    <w:link w:val="QuoteChar"/>
    <w:uiPriority w:val="29"/>
    <w:qFormat/>
    <w:rsid w:val="00CF791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CF791F"/>
    <w:rPr>
      <w:i/>
      <w:iCs/>
      <w:color w:val="404040" w:themeColor="text1" w:themeTint="BF"/>
    </w:rPr>
  </w:style>
  <w:style w:type="paragraph" w:styleId="Header">
    <w:name w:val="header"/>
    <w:basedOn w:val="Normal"/>
    <w:link w:val="HeaderChar"/>
    <w:uiPriority w:val="99"/>
    <w:unhideWhenUsed/>
    <w:rsid w:val="005D3C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3C76"/>
  </w:style>
  <w:style w:type="paragraph" w:styleId="Footer">
    <w:name w:val="footer"/>
    <w:basedOn w:val="Normal"/>
    <w:link w:val="FooterChar"/>
    <w:uiPriority w:val="99"/>
    <w:unhideWhenUsed/>
    <w:rsid w:val="005D3C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3C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606056">
      <w:bodyDiv w:val="1"/>
      <w:marLeft w:val="0"/>
      <w:marRight w:val="0"/>
      <w:marTop w:val="0"/>
      <w:marBottom w:val="0"/>
      <w:divBdr>
        <w:top w:val="none" w:sz="0" w:space="0" w:color="auto"/>
        <w:left w:val="none" w:sz="0" w:space="0" w:color="auto"/>
        <w:bottom w:val="none" w:sz="0" w:space="0" w:color="auto"/>
        <w:right w:val="none" w:sz="0" w:space="0" w:color="auto"/>
      </w:divBdr>
    </w:div>
    <w:div w:id="136802605">
      <w:bodyDiv w:val="1"/>
      <w:marLeft w:val="0"/>
      <w:marRight w:val="0"/>
      <w:marTop w:val="0"/>
      <w:marBottom w:val="0"/>
      <w:divBdr>
        <w:top w:val="none" w:sz="0" w:space="0" w:color="auto"/>
        <w:left w:val="none" w:sz="0" w:space="0" w:color="auto"/>
        <w:bottom w:val="none" w:sz="0" w:space="0" w:color="auto"/>
        <w:right w:val="none" w:sz="0" w:space="0" w:color="auto"/>
      </w:divBdr>
    </w:div>
    <w:div w:id="187135954">
      <w:bodyDiv w:val="1"/>
      <w:marLeft w:val="0"/>
      <w:marRight w:val="0"/>
      <w:marTop w:val="0"/>
      <w:marBottom w:val="0"/>
      <w:divBdr>
        <w:top w:val="none" w:sz="0" w:space="0" w:color="auto"/>
        <w:left w:val="none" w:sz="0" w:space="0" w:color="auto"/>
        <w:bottom w:val="none" w:sz="0" w:space="0" w:color="auto"/>
        <w:right w:val="none" w:sz="0" w:space="0" w:color="auto"/>
      </w:divBdr>
    </w:div>
    <w:div w:id="627666525">
      <w:bodyDiv w:val="1"/>
      <w:marLeft w:val="0"/>
      <w:marRight w:val="0"/>
      <w:marTop w:val="0"/>
      <w:marBottom w:val="0"/>
      <w:divBdr>
        <w:top w:val="none" w:sz="0" w:space="0" w:color="auto"/>
        <w:left w:val="none" w:sz="0" w:space="0" w:color="auto"/>
        <w:bottom w:val="none" w:sz="0" w:space="0" w:color="auto"/>
        <w:right w:val="none" w:sz="0" w:space="0" w:color="auto"/>
      </w:divBdr>
      <w:divsChild>
        <w:div w:id="1174105270">
          <w:marLeft w:val="0"/>
          <w:marRight w:val="0"/>
          <w:marTop w:val="0"/>
          <w:marBottom w:val="0"/>
          <w:divBdr>
            <w:top w:val="none" w:sz="0" w:space="0" w:color="auto"/>
            <w:left w:val="none" w:sz="0" w:space="0" w:color="auto"/>
            <w:bottom w:val="none" w:sz="0" w:space="0" w:color="auto"/>
            <w:right w:val="none" w:sz="0" w:space="0" w:color="auto"/>
          </w:divBdr>
        </w:div>
        <w:div w:id="1040783192">
          <w:marLeft w:val="0"/>
          <w:marRight w:val="0"/>
          <w:marTop w:val="0"/>
          <w:marBottom w:val="0"/>
          <w:divBdr>
            <w:top w:val="none" w:sz="0" w:space="0" w:color="auto"/>
            <w:left w:val="none" w:sz="0" w:space="0" w:color="auto"/>
            <w:bottom w:val="none" w:sz="0" w:space="0" w:color="auto"/>
            <w:right w:val="none" w:sz="0" w:space="0" w:color="auto"/>
          </w:divBdr>
          <w:divsChild>
            <w:div w:id="663436627">
              <w:marLeft w:val="0"/>
              <w:marRight w:val="0"/>
              <w:marTop w:val="0"/>
              <w:marBottom w:val="0"/>
              <w:divBdr>
                <w:top w:val="none" w:sz="0" w:space="0" w:color="auto"/>
                <w:left w:val="none" w:sz="0" w:space="0" w:color="auto"/>
                <w:bottom w:val="none" w:sz="0" w:space="0" w:color="auto"/>
                <w:right w:val="none" w:sz="0" w:space="0" w:color="auto"/>
              </w:divBdr>
            </w:div>
            <w:div w:id="66967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320498">
      <w:bodyDiv w:val="1"/>
      <w:marLeft w:val="0"/>
      <w:marRight w:val="0"/>
      <w:marTop w:val="0"/>
      <w:marBottom w:val="0"/>
      <w:divBdr>
        <w:top w:val="none" w:sz="0" w:space="0" w:color="auto"/>
        <w:left w:val="none" w:sz="0" w:space="0" w:color="auto"/>
        <w:bottom w:val="none" w:sz="0" w:space="0" w:color="auto"/>
        <w:right w:val="none" w:sz="0" w:space="0" w:color="auto"/>
      </w:divBdr>
    </w:div>
    <w:div w:id="970790354">
      <w:bodyDiv w:val="1"/>
      <w:marLeft w:val="0"/>
      <w:marRight w:val="0"/>
      <w:marTop w:val="0"/>
      <w:marBottom w:val="0"/>
      <w:divBdr>
        <w:top w:val="none" w:sz="0" w:space="0" w:color="auto"/>
        <w:left w:val="none" w:sz="0" w:space="0" w:color="auto"/>
        <w:bottom w:val="none" w:sz="0" w:space="0" w:color="auto"/>
        <w:right w:val="none" w:sz="0" w:space="0" w:color="auto"/>
      </w:divBdr>
      <w:divsChild>
        <w:div w:id="1607885676">
          <w:marLeft w:val="0"/>
          <w:marRight w:val="0"/>
          <w:marTop w:val="0"/>
          <w:marBottom w:val="0"/>
          <w:divBdr>
            <w:top w:val="none" w:sz="0" w:space="0" w:color="auto"/>
            <w:left w:val="none" w:sz="0" w:space="0" w:color="auto"/>
            <w:bottom w:val="none" w:sz="0" w:space="0" w:color="auto"/>
            <w:right w:val="none" w:sz="0" w:space="0" w:color="auto"/>
          </w:divBdr>
        </w:div>
      </w:divsChild>
    </w:div>
    <w:div w:id="1262176582">
      <w:bodyDiv w:val="1"/>
      <w:marLeft w:val="0"/>
      <w:marRight w:val="0"/>
      <w:marTop w:val="0"/>
      <w:marBottom w:val="0"/>
      <w:divBdr>
        <w:top w:val="none" w:sz="0" w:space="0" w:color="auto"/>
        <w:left w:val="none" w:sz="0" w:space="0" w:color="auto"/>
        <w:bottom w:val="none" w:sz="0" w:space="0" w:color="auto"/>
        <w:right w:val="none" w:sz="0" w:space="0" w:color="auto"/>
      </w:divBdr>
    </w:div>
    <w:div w:id="1309168150">
      <w:bodyDiv w:val="1"/>
      <w:marLeft w:val="0"/>
      <w:marRight w:val="0"/>
      <w:marTop w:val="0"/>
      <w:marBottom w:val="0"/>
      <w:divBdr>
        <w:top w:val="none" w:sz="0" w:space="0" w:color="auto"/>
        <w:left w:val="none" w:sz="0" w:space="0" w:color="auto"/>
        <w:bottom w:val="none" w:sz="0" w:space="0" w:color="auto"/>
        <w:right w:val="none" w:sz="0" w:space="0" w:color="auto"/>
      </w:divBdr>
    </w:div>
    <w:div w:id="1341347951">
      <w:bodyDiv w:val="1"/>
      <w:marLeft w:val="0"/>
      <w:marRight w:val="0"/>
      <w:marTop w:val="0"/>
      <w:marBottom w:val="0"/>
      <w:divBdr>
        <w:top w:val="none" w:sz="0" w:space="0" w:color="auto"/>
        <w:left w:val="none" w:sz="0" w:space="0" w:color="auto"/>
        <w:bottom w:val="none" w:sz="0" w:space="0" w:color="auto"/>
        <w:right w:val="none" w:sz="0" w:space="0" w:color="auto"/>
      </w:divBdr>
    </w:div>
    <w:div w:id="1430274563">
      <w:bodyDiv w:val="1"/>
      <w:marLeft w:val="0"/>
      <w:marRight w:val="0"/>
      <w:marTop w:val="0"/>
      <w:marBottom w:val="0"/>
      <w:divBdr>
        <w:top w:val="none" w:sz="0" w:space="0" w:color="auto"/>
        <w:left w:val="none" w:sz="0" w:space="0" w:color="auto"/>
        <w:bottom w:val="none" w:sz="0" w:space="0" w:color="auto"/>
        <w:right w:val="none" w:sz="0" w:space="0" w:color="auto"/>
      </w:divBdr>
    </w:div>
    <w:div w:id="1447845215">
      <w:bodyDiv w:val="1"/>
      <w:marLeft w:val="0"/>
      <w:marRight w:val="0"/>
      <w:marTop w:val="0"/>
      <w:marBottom w:val="0"/>
      <w:divBdr>
        <w:top w:val="none" w:sz="0" w:space="0" w:color="auto"/>
        <w:left w:val="none" w:sz="0" w:space="0" w:color="auto"/>
        <w:bottom w:val="none" w:sz="0" w:space="0" w:color="auto"/>
        <w:right w:val="none" w:sz="0" w:space="0" w:color="auto"/>
      </w:divBdr>
    </w:div>
    <w:div w:id="1800413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png"/><Relationship Id="rId18" Type="http://schemas.openxmlformats.org/officeDocument/2006/relationships/image" Target="media/image8.png"/><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emf"/><Relationship Id="rId25"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image" Target="media/image6.png"/><Relationship Id="rId20"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microsoft.com/office/2011/relationships/people" Target="people.xml"/><Relationship Id="rId10" Type="http://schemas.openxmlformats.org/officeDocument/2006/relationships/hyperlink" Target="https://www.bis.org/publ/work685.pdf" TargetMode="External"/><Relationship Id="rId19" Type="http://schemas.openxmlformats.org/officeDocument/2006/relationships/image" Target="media/image9.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5A6EE-2F16-487A-A168-4B3A1F630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6570</Words>
  <Characters>37449</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Lewis &amp; Clark College</Company>
  <LinksUpToDate>false</LinksUpToDate>
  <CharactersWithSpaces>43932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Tymoigne</dc:creator>
  <cp:keywords/>
  <dc:description/>
  <cp:lastModifiedBy>Eric Tymoigne</cp:lastModifiedBy>
  <cp:revision>3</cp:revision>
  <cp:lastPrinted>2021-06-11T21:16:00Z</cp:lastPrinted>
  <dcterms:created xsi:type="dcterms:W3CDTF">2021-06-12T17:18:00Z</dcterms:created>
  <dcterms:modified xsi:type="dcterms:W3CDTF">2021-06-12T17:19:00Z</dcterms:modified>
</cp:coreProperties>
</file>