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2C054A" w14:textId="77777777" w:rsidR="00017956" w:rsidRPr="00EA6985" w:rsidRDefault="00017956" w:rsidP="00726D42">
      <w:pPr>
        <w:jc w:val="center"/>
        <w:rPr>
          <w:rFonts w:cstheme="minorHAnsi"/>
          <w:b/>
          <w:noProof/>
        </w:rPr>
      </w:pPr>
      <w:r w:rsidRPr="00EA6985">
        <w:rPr>
          <w:rFonts w:cstheme="minorHAnsi"/>
          <w:b/>
          <w:noProof/>
        </w:rPr>
        <w:t xml:space="preserve">MMT </w:t>
      </w:r>
      <w:r w:rsidR="00726D42" w:rsidRPr="00EA6985">
        <w:rPr>
          <w:rFonts w:cstheme="minorHAnsi"/>
          <w:b/>
          <w:noProof/>
        </w:rPr>
        <w:t xml:space="preserve">and the </w:t>
      </w:r>
      <w:r w:rsidRPr="00EA6985">
        <w:rPr>
          <w:rFonts w:cstheme="minorHAnsi"/>
          <w:b/>
          <w:noProof/>
        </w:rPr>
        <w:t>monetary system</w:t>
      </w:r>
      <w:r w:rsidR="00726D42" w:rsidRPr="00EA6985">
        <w:rPr>
          <w:rFonts w:cstheme="minorHAnsi"/>
          <w:b/>
          <w:noProof/>
        </w:rPr>
        <w:t>: A reply to critiques</w:t>
      </w:r>
    </w:p>
    <w:p w14:paraId="3BD3BC1A" w14:textId="77777777" w:rsidR="00726D42" w:rsidRPr="00EA6985" w:rsidRDefault="00726D42" w:rsidP="00726D42">
      <w:pPr>
        <w:jc w:val="center"/>
        <w:rPr>
          <w:rFonts w:cstheme="minorHAnsi"/>
          <w:noProof/>
        </w:rPr>
      </w:pPr>
      <w:r w:rsidRPr="00EA6985">
        <w:rPr>
          <w:rFonts w:cstheme="minorHAnsi"/>
          <w:noProof/>
        </w:rPr>
        <w:t>Eric Tymoigne</w:t>
      </w:r>
    </w:p>
    <w:p w14:paraId="44E41194" w14:textId="77777777" w:rsidR="00726D42" w:rsidRPr="00EA6985" w:rsidRDefault="00726D42" w:rsidP="00726D42">
      <w:pPr>
        <w:jc w:val="center"/>
        <w:rPr>
          <w:rFonts w:cstheme="minorHAnsi"/>
          <w:noProof/>
        </w:rPr>
      </w:pPr>
      <w:r w:rsidRPr="00EA6985">
        <w:rPr>
          <w:rFonts w:cstheme="minorHAnsi"/>
          <w:noProof/>
        </w:rPr>
        <w:t>Lewis &amp; Clark College</w:t>
      </w:r>
    </w:p>
    <w:p w14:paraId="7C833653" w14:textId="77777777" w:rsidR="00726D42" w:rsidRPr="00EA6985" w:rsidRDefault="00726D42" w:rsidP="00726D42">
      <w:pPr>
        <w:jc w:val="center"/>
        <w:rPr>
          <w:rFonts w:cstheme="minorHAnsi"/>
          <w:noProof/>
        </w:rPr>
      </w:pPr>
    </w:p>
    <w:p w14:paraId="50C80D01" w14:textId="28E0A5CE" w:rsidR="005079F7" w:rsidRPr="00EA6985" w:rsidRDefault="0035590B" w:rsidP="005079F7">
      <w:pPr>
        <w:spacing w:before="120" w:after="120" w:line="240" w:lineRule="auto"/>
        <w:ind w:firstLine="360"/>
        <w:rPr>
          <w:rFonts w:cstheme="minorHAnsi"/>
          <w:noProof/>
          <w:color w:val="000000" w:themeColor="text1"/>
        </w:rPr>
      </w:pPr>
      <w:r w:rsidRPr="00EA6985">
        <w:rPr>
          <w:rFonts w:cstheme="minorHAnsi"/>
          <w:noProof/>
          <w:color w:val="000000" w:themeColor="text1"/>
        </w:rPr>
        <w:t>Critique</w:t>
      </w:r>
      <w:r w:rsidR="00017956" w:rsidRPr="00EA6985">
        <w:rPr>
          <w:rFonts w:cstheme="minorHAnsi"/>
          <w:noProof/>
          <w:color w:val="000000" w:themeColor="text1"/>
        </w:rPr>
        <w:t>s have argued</w:t>
      </w:r>
      <w:r w:rsidR="00EF7754" w:rsidRPr="00EA6985">
        <w:rPr>
          <w:rFonts w:cstheme="minorHAnsi"/>
          <w:noProof/>
          <w:color w:val="000000" w:themeColor="text1"/>
        </w:rPr>
        <w:t xml:space="preserve"> that several aspects of MMT conceptualization and understanding of monetary systems are either underdeveloped or incorrect. One criticism is that </w:t>
      </w:r>
      <w:r w:rsidR="00017956" w:rsidRPr="00EA6985">
        <w:rPr>
          <w:rFonts w:cstheme="minorHAnsi"/>
          <w:noProof/>
          <w:color w:val="000000" w:themeColor="text1"/>
        </w:rPr>
        <w:t xml:space="preserve">the MMT theoretical and historical analyses of monetary systems overemphasize the role of the state and </w:t>
      </w:r>
      <w:r w:rsidR="000C0B0A">
        <w:rPr>
          <w:rFonts w:cstheme="minorHAnsi"/>
          <w:noProof/>
          <w:color w:val="000000" w:themeColor="text1"/>
        </w:rPr>
        <w:t>“</w:t>
      </w:r>
      <w:r w:rsidR="000C0B0A">
        <w:t>minimize the role of private credit demand in driving the economy”</w:t>
      </w:r>
      <w:r w:rsidR="000C0B0A">
        <w:rPr>
          <w:rFonts w:cstheme="minorHAnsi"/>
          <w:noProof/>
          <w:color w:val="000000" w:themeColor="text1"/>
        </w:rPr>
        <w:t xml:space="preserve"> (Henwood 2020)</w:t>
      </w:r>
      <w:r w:rsidR="00017956" w:rsidRPr="00EA6985">
        <w:rPr>
          <w:rFonts w:cstheme="minorHAnsi"/>
          <w:noProof/>
          <w:color w:val="000000" w:themeColor="text1"/>
        </w:rPr>
        <w:t xml:space="preserve">. MMT is said to argue that </w:t>
      </w:r>
      <w:r w:rsidR="00E70AEA" w:rsidRPr="00EA6985">
        <w:rPr>
          <w:rFonts w:cstheme="minorHAnsi"/>
          <w:noProof/>
          <w:color w:val="000000" w:themeColor="text1"/>
        </w:rPr>
        <w:t>“</w:t>
      </w:r>
      <w:r w:rsidR="00E70AEA" w:rsidRPr="00EA6985">
        <w:rPr>
          <w:rFonts w:cstheme="minorHAnsi"/>
          <w:noProof/>
        </w:rPr>
        <w:t>government has a monopoly in money creation</w:t>
      </w:r>
      <w:r w:rsidR="00E70AEA" w:rsidRPr="00EA6985">
        <w:rPr>
          <w:rFonts w:cstheme="minorHAnsi"/>
          <w:noProof/>
          <w:color w:val="000000" w:themeColor="text1"/>
        </w:rPr>
        <w:t>” (Mason 2020)</w:t>
      </w:r>
      <w:r w:rsidR="00017956" w:rsidRPr="00EA6985">
        <w:rPr>
          <w:rFonts w:cstheme="minorHAnsi"/>
          <w:noProof/>
          <w:color w:val="000000" w:themeColor="text1"/>
        </w:rPr>
        <w:t xml:space="preserve">, which ignores the </w:t>
      </w:r>
      <w:r w:rsidR="00EF7754" w:rsidRPr="00EA6985">
        <w:rPr>
          <w:rFonts w:cstheme="minorHAnsi"/>
          <w:noProof/>
          <w:color w:val="000000" w:themeColor="text1"/>
        </w:rPr>
        <w:t xml:space="preserve">central </w:t>
      </w:r>
      <w:r w:rsidR="00017956" w:rsidRPr="00EA6985">
        <w:rPr>
          <w:rFonts w:cstheme="minorHAnsi"/>
          <w:noProof/>
          <w:color w:val="000000" w:themeColor="text1"/>
        </w:rPr>
        <w:t xml:space="preserve">role of </w:t>
      </w:r>
      <w:r w:rsidR="00273BB4" w:rsidRPr="00EA6985">
        <w:rPr>
          <w:rFonts w:cstheme="minorHAnsi"/>
          <w:noProof/>
          <w:color w:val="000000" w:themeColor="text1"/>
        </w:rPr>
        <w:t xml:space="preserve">private </w:t>
      </w:r>
      <w:r w:rsidR="00017956" w:rsidRPr="00EA6985">
        <w:rPr>
          <w:rFonts w:cstheme="minorHAnsi"/>
          <w:noProof/>
          <w:color w:val="000000" w:themeColor="text1"/>
        </w:rPr>
        <w:t xml:space="preserve">banks or includes them only as an afterthought. </w:t>
      </w:r>
    </w:p>
    <w:p w14:paraId="25A7CD23" w14:textId="019BAAA8" w:rsidR="005079F7" w:rsidRPr="00EA6985" w:rsidRDefault="005079F7" w:rsidP="005079F7">
      <w:pPr>
        <w:spacing w:before="120" w:after="120" w:line="240" w:lineRule="auto"/>
        <w:ind w:firstLine="360"/>
        <w:rPr>
          <w:rFonts w:cstheme="minorHAnsi"/>
          <w:noProof/>
          <w:color w:val="000000" w:themeColor="text1"/>
        </w:rPr>
      </w:pPr>
      <w:r w:rsidRPr="00EA6985">
        <w:rPr>
          <w:rFonts w:cstheme="minorHAnsi"/>
          <w:noProof/>
          <w:color w:val="000000" w:themeColor="text1"/>
        </w:rPr>
        <w:t>Another criticism emphasizes the differe</w:t>
      </w:r>
      <w:r w:rsidR="00373597">
        <w:rPr>
          <w:rFonts w:cstheme="minorHAnsi"/>
          <w:noProof/>
          <w:color w:val="000000" w:themeColor="text1"/>
        </w:rPr>
        <w:t>nce</w:t>
      </w:r>
      <w:r w:rsidRPr="00EA6985">
        <w:rPr>
          <w:rFonts w:cstheme="minorHAnsi"/>
          <w:noProof/>
          <w:color w:val="000000" w:themeColor="text1"/>
        </w:rPr>
        <w:t xml:space="preserve"> between </w:t>
      </w:r>
      <w:r w:rsidR="00373597">
        <w:rPr>
          <w:rFonts w:cstheme="minorHAnsi"/>
          <w:noProof/>
          <w:color w:val="000000" w:themeColor="text1"/>
        </w:rPr>
        <w:t>“fiat money” and “credit money”</w:t>
      </w:r>
      <w:r w:rsidRPr="00EA6985">
        <w:rPr>
          <w:rFonts w:cstheme="minorHAnsi"/>
          <w:noProof/>
          <w:color w:val="000000" w:themeColor="text1"/>
        </w:rPr>
        <w:t>. Gnos and Rochon (2002) argue that MMT confuse</w:t>
      </w:r>
      <w:r w:rsidR="00F6073C" w:rsidRPr="00EA6985">
        <w:rPr>
          <w:rFonts w:cstheme="minorHAnsi"/>
          <w:noProof/>
          <w:color w:val="000000" w:themeColor="text1"/>
        </w:rPr>
        <w:t>s</w:t>
      </w:r>
      <w:r w:rsidRPr="00EA6985">
        <w:rPr>
          <w:rFonts w:cstheme="minorHAnsi"/>
          <w:noProof/>
          <w:color w:val="000000" w:themeColor="text1"/>
        </w:rPr>
        <w:t xml:space="preserve"> the two by merging the </w:t>
      </w:r>
      <w:r w:rsidR="00F6073C" w:rsidRPr="00EA6985">
        <w:rPr>
          <w:rFonts w:cstheme="minorHAnsi"/>
          <w:noProof/>
          <w:color w:val="000000" w:themeColor="text1"/>
        </w:rPr>
        <w:t>Treasury</w:t>
      </w:r>
      <w:r w:rsidRPr="00EA6985">
        <w:rPr>
          <w:rFonts w:cstheme="minorHAnsi"/>
          <w:noProof/>
          <w:color w:val="000000" w:themeColor="text1"/>
        </w:rPr>
        <w:t xml:space="preserve"> (that issues through fiat) and the central bank (that issues a</w:t>
      </w:r>
      <w:r w:rsidR="001835B3" w:rsidRPr="00EA6985">
        <w:rPr>
          <w:rFonts w:cstheme="minorHAnsi"/>
          <w:noProof/>
          <w:color w:val="000000" w:themeColor="text1"/>
        </w:rPr>
        <w:t xml:space="preserve"> promise to pay). Similarly, Me</w:t>
      </w:r>
      <w:r w:rsidRPr="00EA6985">
        <w:rPr>
          <w:rFonts w:cstheme="minorHAnsi"/>
          <w:noProof/>
          <w:color w:val="000000" w:themeColor="text1"/>
        </w:rPr>
        <w:t>h</w:t>
      </w:r>
      <w:r w:rsidR="001835B3" w:rsidRPr="00EA6985">
        <w:rPr>
          <w:rFonts w:cstheme="minorHAnsi"/>
          <w:noProof/>
          <w:color w:val="000000" w:themeColor="text1"/>
        </w:rPr>
        <w:t>r</w:t>
      </w:r>
      <w:r w:rsidRPr="00EA6985">
        <w:rPr>
          <w:rFonts w:cstheme="minorHAnsi"/>
          <w:noProof/>
          <w:color w:val="000000" w:themeColor="text1"/>
        </w:rPr>
        <w:t>ling (2000, 406) conclude</w:t>
      </w:r>
      <w:r w:rsidR="000C6098">
        <w:rPr>
          <w:rFonts w:cstheme="minorHAnsi"/>
          <w:noProof/>
          <w:color w:val="000000" w:themeColor="text1"/>
        </w:rPr>
        <w:t>s</w:t>
      </w:r>
      <w:r w:rsidRPr="00EA6985">
        <w:rPr>
          <w:rFonts w:cstheme="minorHAnsi"/>
          <w:noProof/>
          <w:color w:val="000000" w:themeColor="text1"/>
        </w:rPr>
        <w:t xml:space="preserve"> that one can improve on the MMT analytical framework by viewing “the chartalist token not as fiat money but as promise to pay.” Along the same line of criticism, </w:t>
      </w:r>
      <w:r w:rsidR="00017956" w:rsidRPr="00EA6985">
        <w:rPr>
          <w:rFonts w:cstheme="minorHAnsi"/>
          <w:noProof/>
          <w:color w:val="000000" w:themeColor="text1"/>
        </w:rPr>
        <w:t xml:space="preserve">Rochon and Vernengo </w:t>
      </w:r>
      <w:r w:rsidR="007D0149" w:rsidRPr="00EA6985">
        <w:rPr>
          <w:rFonts w:cstheme="minorHAnsi"/>
          <w:noProof/>
          <w:color w:val="000000" w:themeColor="text1"/>
        </w:rPr>
        <w:t xml:space="preserve">(2003, 66) </w:t>
      </w:r>
      <w:r w:rsidR="00017956" w:rsidRPr="00EA6985">
        <w:rPr>
          <w:rFonts w:cstheme="minorHAnsi"/>
          <w:noProof/>
          <w:color w:val="000000" w:themeColor="text1"/>
        </w:rPr>
        <w:t>argue that “modern money is chartal” but claim that it “has been credit money for a longer period”</w:t>
      </w:r>
      <w:r w:rsidR="0005766D" w:rsidRPr="00EA6985">
        <w:rPr>
          <w:rFonts w:cstheme="minorHAnsi"/>
          <w:noProof/>
          <w:color w:val="000000" w:themeColor="text1"/>
        </w:rPr>
        <w:t xml:space="preserve"> with the international circulation of some medieval coins clearly showing that banking, not taxation, plays a crucial role in the acceptance of domestic currencies.</w:t>
      </w:r>
      <w:r w:rsidR="00017956" w:rsidRPr="00EA6985">
        <w:rPr>
          <w:rFonts w:cstheme="minorHAnsi"/>
          <w:noProof/>
          <w:color w:val="000000" w:themeColor="text1"/>
        </w:rPr>
        <w:t xml:space="preserve"> </w:t>
      </w:r>
    </w:p>
    <w:p w14:paraId="31756F2A" w14:textId="01D2C13E" w:rsidR="005B1229" w:rsidRPr="00EA6985" w:rsidRDefault="00056AC9" w:rsidP="00017956">
      <w:pPr>
        <w:spacing w:before="120" w:after="120" w:line="240" w:lineRule="auto"/>
        <w:ind w:firstLine="360"/>
        <w:rPr>
          <w:rFonts w:cstheme="minorHAnsi"/>
          <w:noProof/>
          <w:color w:val="000000" w:themeColor="text1"/>
        </w:rPr>
      </w:pPr>
      <w:r w:rsidRPr="00EA6985">
        <w:rPr>
          <w:rFonts w:cstheme="minorHAnsi"/>
          <w:noProof/>
          <w:color w:val="000000" w:themeColor="text1"/>
        </w:rPr>
        <w:t>A third criticism is that MMT downplays</w:t>
      </w:r>
      <w:r w:rsidR="00373597">
        <w:rPr>
          <w:rFonts w:cstheme="minorHAnsi"/>
          <w:noProof/>
          <w:color w:val="000000" w:themeColor="text1"/>
        </w:rPr>
        <w:t xml:space="preserve"> the role of</w:t>
      </w:r>
      <w:r w:rsidR="005079F7" w:rsidRPr="00EA6985">
        <w:rPr>
          <w:rFonts w:cstheme="minorHAnsi"/>
          <w:noProof/>
          <w:color w:val="000000" w:themeColor="text1"/>
        </w:rPr>
        <w:t xml:space="preserve"> liquidity preference</w:t>
      </w:r>
      <w:r w:rsidR="00BD26EF" w:rsidRPr="00EA6985">
        <w:rPr>
          <w:rFonts w:cstheme="minorHAnsi"/>
          <w:noProof/>
          <w:color w:val="000000" w:themeColor="text1"/>
        </w:rPr>
        <w:t xml:space="preserve"> and i</w:t>
      </w:r>
      <w:r w:rsidR="005B1229" w:rsidRPr="00EA6985">
        <w:rPr>
          <w:rFonts w:cstheme="minorHAnsi"/>
          <w:noProof/>
          <w:color w:val="000000" w:themeColor="text1"/>
        </w:rPr>
        <w:t>s not compatible with endogenous money theory</w:t>
      </w:r>
      <w:r w:rsidR="005079F7" w:rsidRPr="00EA6985">
        <w:rPr>
          <w:rFonts w:cstheme="minorHAnsi"/>
          <w:noProof/>
          <w:color w:val="000000" w:themeColor="text1"/>
        </w:rPr>
        <w:t xml:space="preserve">. </w:t>
      </w:r>
      <w:r w:rsidR="00017956" w:rsidRPr="00EA6985">
        <w:rPr>
          <w:rFonts w:cstheme="minorHAnsi"/>
          <w:noProof/>
          <w:color w:val="000000" w:themeColor="text1"/>
        </w:rPr>
        <w:t>Davidson</w:t>
      </w:r>
      <w:r w:rsidR="005B1229" w:rsidRPr="00EA6985">
        <w:rPr>
          <w:rFonts w:cstheme="minorHAnsi"/>
          <w:noProof/>
          <w:color w:val="000000" w:themeColor="text1"/>
        </w:rPr>
        <w:t xml:space="preserve"> </w:t>
      </w:r>
      <w:r w:rsidR="007D0149" w:rsidRPr="00EA6985">
        <w:rPr>
          <w:rFonts w:cstheme="minorHAnsi"/>
          <w:noProof/>
          <w:color w:val="000000" w:themeColor="text1"/>
        </w:rPr>
        <w:t xml:space="preserve">(2019) </w:t>
      </w:r>
      <w:r w:rsidR="001F3BCD">
        <w:rPr>
          <w:rFonts w:cstheme="minorHAnsi"/>
          <w:noProof/>
          <w:color w:val="000000" w:themeColor="text1"/>
        </w:rPr>
        <w:t xml:space="preserve">argues </w:t>
      </w:r>
      <w:r w:rsidR="00017956" w:rsidRPr="00EA6985">
        <w:rPr>
          <w:rFonts w:cstheme="minorHAnsi"/>
          <w:noProof/>
          <w:color w:val="000000" w:themeColor="text1"/>
        </w:rPr>
        <w:t>that chartal money is very recent (because, supposedly, “chartal” is related to the “State” political entity</w:t>
      </w:r>
      <w:r w:rsidR="00BD26EF" w:rsidRPr="00EA6985">
        <w:rPr>
          <w:rFonts w:cstheme="minorHAnsi"/>
          <w:noProof/>
          <w:color w:val="000000" w:themeColor="text1"/>
        </w:rPr>
        <w:t xml:space="preserve">) and </w:t>
      </w:r>
      <w:r w:rsidR="00017956" w:rsidRPr="00EA6985">
        <w:rPr>
          <w:rFonts w:cstheme="minorHAnsi"/>
          <w:noProof/>
          <w:color w:val="000000" w:themeColor="text1"/>
        </w:rPr>
        <w:t>that uncertainty and liquidity preference are central to the explanation of why a monetary instrument (coins, notes, bank accounts or others) is demanded</w:t>
      </w:r>
      <w:r w:rsidR="00BD26EF" w:rsidRPr="00EA6985">
        <w:rPr>
          <w:rFonts w:cstheme="minorHAnsi"/>
          <w:noProof/>
          <w:color w:val="000000" w:themeColor="text1"/>
        </w:rPr>
        <w:t xml:space="preserve">. </w:t>
      </w:r>
      <w:r w:rsidR="005B1229" w:rsidRPr="00EA6985">
        <w:rPr>
          <w:rFonts w:cstheme="minorHAnsi"/>
          <w:noProof/>
          <w:color w:val="000000" w:themeColor="text1"/>
        </w:rPr>
        <w:t>Rochon and Vern</w:t>
      </w:r>
      <w:r w:rsidR="00AC7661" w:rsidRPr="00EA6985">
        <w:rPr>
          <w:rFonts w:cstheme="minorHAnsi"/>
          <w:noProof/>
          <w:color w:val="000000" w:themeColor="text1"/>
        </w:rPr>
        <w:t>e</w:t>
      </w:r>
      <w:r w:rsidR="005B1229" w:rsidRPr="00EA6985">
        <w:rPr>
          <w:rFonts w:cstheme="minorHAnsi"/>
          <w:noProof/>
          <w:color w:val="000000" w:themeColor="text1"/>
        </w:rPr>
        <w:t xml:space="preserve">ngo </w:t>
      </w:r>
      <w:r w:rsidR="00AC7661" w:rsidRPr="00EA6985">
        <w:rPr>
          <w:rFonts w:cstheme="minorHAnsi"/>
          <w:noProof/>
          <w:color w:val="000000" w:themeColor="text1"/>
        </w:rPr>
        <w:t xml:space="preserve">(2003) </w:t>
      </w:r>
      <w:r w:rsidR="005B1229" w:rsidRPr="00EA6985">
        <w:rPr>
          <w:rFonts w:cstheme="minorHAnsi"/>
          <w:noProof/>
          <w:color w:val="000000" w:themeColor="text1"/>
        </w:rPr>
        <w:t xml:space="preserve">argue that </w:t>
      </w:r>
      <w:r w:rsidR="001F3BCD">
        <w:rPr>
          <w:rFonts w:cstheme="minorHAnsi"/>
          <w:noProof/>
          <w:color w:val="000000" w:themeColor="text1"/>
        </w:rPr>
        <w:t>the Chartalist view</w:t>
      </w:r>
      <w:r w:rsidR="005B1229" w:rsidRPr="00EA6985">
        <w:rPr>
          <w:rFonts w:cstheme="minorHAnsi"/>
          <w:noProof/>
          <w:color w:val="000000" w:themeColor="text1"/>
        </w:rPr>
        <w:t xml:space="preserve"> is based on a monetary creation process consisting of multiplying the domestic currency</w:t>
      </w:r>
      <w:r w:rsidR="00AC7661" w:rsidRPr="00EA6985">
        <w:rPr>
          <w:rFonts w:cstheme="minorHAnsi"/>
          <w:noProof/>
          <w:color w:val="000000" w:themeColor="text1"/>
        </w:rPr>
        <w:t xml:space="preserve"> and that MMT</w:t>
      </w:r>
      <w:r w:rsidR="00017956" w:rsidRPr="00EA6985">
        <w:rPr>
          <w:rFonts w:cstheme="minorHAnsi"/>
          <w:noProof/>
          <w:color w:val="000000" w:themeColor="text1"/>
        </w:rPr>
        <w:t>.</w:t>
      </w:r>
    </w:p>
    <w:p w14:paraId="0136619F" w14:textId="1FB5A9B2" w:rsidR="00017956" w:rsidRPr="00EA6985" w:rsidRDefault="00866C6D" w:rsidP="00017956">
      <w:pPr>
        <w:spacing w:before="120" w:after="120" w:line="240" w:lineRule="auto"/>
        <w:ind w:firstLine="360"/>
        <w:rPr>
          <w:rFonts w:cstheme="minorHAnsi"/>
          <w:noProof/>
          <w:color w:val="000000" w:themeColor="text1"/>
        </w:rPr>
      </w:pPr>
      <w:r w:rsidRPr="00EA6985">
        <w:rPr>
          <w:rFonts w:cstheme="minorHAnsi"/>
          <w:noProof/>
          <w:color w:val="000000" w:themeColor="text1"/>
        </w:rPr>
        <w:t xml:space="preserve">Finally, </w:t>
      </w:r>
      <w:r w:rsidR="00017956" w:rsidRPr="00EA6985">
        <w:rPr>
          <w:rFonts w:cstheme="minorHAnsi"/>
          <w:noProof/>
          <w:color w:val="000000" w:themeColor="text1"/>
        </w:rPr>
        <w:t xml:space="preserve">following Mises and Jevons, </w:t>
      </w:r>
      <w:r w:rsidRPr="00EA6985">
        <w:rPr>
          <w:rFonts w:cstheme="minorHAnsi"/>
          <w:noProof/>
          <w:color w:val="000000" w:themeColor="text1"/>
        </w:rPr>
        <w:t xml:space="preserve">other critiques such as Murphy (2012, 2020) </w:t>
      </w:r>
      <w:r w:rsidR="00017956" w:rsidRPr="00EA6985">
        <w:rPr>
          <w:rFonts w:cstheme="minorHAnsi"/>
          <w:noProof/>
          <w:color w:val="000000" w:themeColor="text1"/>
        </w:rPr>
        <w:t>have rejected the story of money developed by MMT and have argued</w:t>
      </w:r>
      <w:r w:rsidR="00BE2627" w:rsidRPr="00EA6985">
        <w:rPr>
          <w:rFonts w:cstheme="minorHAnsi"/>
          <w:noProof/>
          <w:color w:val="000000" w:themeColor="text1"/>
        </w:rPr>
        <w:t>, without providing evidence</w:t>
      </w:r>
      <w:r w:rsidR="009E14D3" w:rsidRPr="00EA6985">
        <w:rPr>
          <w:rFonts w:cstheme="minorHAnsi"/>
          <w:noProof/>
          <w:color w:val="000000" w:themeColor="text1"/>
        </w:rPr>
        <w:t>s</w:t>
      </w:r>
      <w:r w:rsidR="00BE2627" w:rsidRPr="00EA6985">
        <w:rPr>
          <w:rFonts w:cstheme="minorHAnsi"/>
          <w:noProof/>
          <w:color w:val="000000" w:themeColor="text1"/>
        </w:rPr>
        <w:t>,</w:t>
      </w:r>
      <w:r w:rsidR="00017956" w:rsidRPr="00EA6985">
        <w:rPr>
          <w:rFonts w:cstheme="minorHAnsi"/>
          <w:noProof/>
          <w:color w:val="000000" w:themeColor="text1"/>
        </w:rPr>
        <w:t xml:space="preserve"> that the problem of double coincident of wants is what caused the emergence of </w:t>
      </w:r>
      <w:r w:rsidR="001F3BCD">
        <w:rPr>
          <w:rFonts w:cstheme="minorHAnsi"/>
          <w:noProof/>
          <w:color w:val="000000" w:themeColor="text1"/>
        </w:rPr>
        <w:t xml:space="preserve">modern </w:t>
      </w:r>
      <w:r w:rsidR="00017956" w:rsidRPr="00EA6985">
        <w:rPr>
          <w:rFonts w:cstheme="minorHAnsi"/>
          <w:noProof/>
          <w:color w:val="000000" w:themeColor="text1"/>
        </w:rPr>
        <w:t xml:space="preserve">monetary systems. </w:t>
      </w:r>
      <w:r w:rsidR="00236CF1" w:rsidRPr="00EA6985">
        <w:rPr>
          <w:rFonts w:cstheme="minorHAnsi"/>
          <w:noProof/>
          <w:color w:val="000000" w:themeColor="text1"/>
        </w:rPr>
        <w:t>M</w:t>
      </w:r>
      <w:r w:rsidR="00017956" w:rsidRPr="00EA6985">
        <w:rPr>
          <w:rFonts w:cstheme="minorHAnsi"/>
          <w:noProof/>
          <w:color w:val="000000" w:themeColor="text1"/>
        </w:rPr>
        <w:t>onetary instruments were at first a multitude of varied commodities that, through a process of convergence guided by the will to make voluntary market exchanges more efficient, zeroed in on precious metals because of their special properties (durable, divisible, etc.)</w:t>
      </w:r>
      <w:r w:rsidR="00236CF1" w:rsidRPr="00EA6985">
        <w:rPr>
          <w:rFonts w:cstheme="minorHAnsi"/>
          <w:noProof/>
          <w:color w:val="000000" w:themeColor="text1"/>
        </w:rPr>
        <w:t xml:space="preserve"> (Klein and Selgin 2000)</w:t>
      </w:r>
      <w:r w:rsidR="00017956" w:rsidRPr="00EA6985">
        <w:rPr>
          <w:rFonts w:cstheme="minorHAnsi"/>
          <w:noProof/>
          <w:color w:val="000000" w:themeColor="text1"/>
        </w:rPr>
        <w:t>.</w:t>
      </w:r>
      <w:r w:rsidR="001F3BCD">
        <w:rPr>
          <w:rFonts w:cstheme="minorHAnsi"/>
          <w:noProof/>
          <w:color w:val="000000" w:themeColor="text1"/>
        </w:rPr>
        <w:t xml:space="preserve"> T</w:t>
      </w:r>
      <w:r w:rsidR="001F3BCD" w:rsidRPr="00EA6985">
        <w:rPr>
          <w:rFonts w:cstheme="minorHAnsi"/>
          <w:noProof/>
          <w:color w:val="000000" w:themeColor="text1"/>
        </w:rPr>
        <w:t xml:space="preserve">he use of cigarettes as medium of exchange </w:t>
      </w:r>
      <w:r w:rsidR="001F3BCD">
        <w:rPr>
          <w:rFonts w:cstheme="minorHAnsi"/>
          <w:noProof/>
          <w:color w:val="000000" w:themeColor="text1"/>
        </w:rPr>
        <w:t>in POW camps is supposed to provide a</w:t>
      </w:r>
      <w:r w:rsidR="00247D0E" w:rsidRPr="00EA6985">
        <w:rPr>
          <w:rFonts w:cstheme="minorHAnsi"/>
          <w:noProof/>
          <w:color w:val="000000" w:themeColor="text1"/>
        </w:rPr>
        <w:t xml:space="preserve"> r</w:t>
      </w:r>
      <w:r w:rsidRPr="00EA6985">
        <w:rPr>
          <w:rFonts w:cstheme="minorHAnsi"/>
          <w:noProof/>
          <w:color w:val="000000" w:themeColor="text1"/>
        </w:rPr>
        <w:t xml:space="preserve">ecent example of such a </w:t>
      </w:r>
      <w:r w:rsidR="00247D0E" w:rsidRPr="00EA6985">
        <w:rPr>
          <w:rFonts w:cstheme="minorHAnsi"/>
          <w:noProof/>
          <w:color w:val="000000" w:themeColor="text1"/>
        </w:rPr>
        <w:t>spontaneous order</w:t>
      </w:r>
      <w:r w:rsidRPr="00EA6985">
        <w:rPr>
          <w:rFonts w:cstheme="minorHAnsi"/>
          <w:noProof/>
          <w:color w:val="000000" w:themeColor="text1"/>
        </w:rPr>
        <w:t>.</w:t>
      </w:r>
    </w:p>
    <w:p w14:paraId="1E4BCF8E" w14:textId="77777777" w:rsidR="00017956" w:rsidRPr="00EA6985" w:rsidRDefault="00017956" w:rsidP="00017956">
      <w:pPr>
        <w:spacing w:before="120" w:after="120" w:line="240" w:lineRule="auto"/>
        <w:rPr>
          <w:rFonts w:cstheme="minorHAnsi"/>
          <w:b/>
          <w:noProof/>
          <w:color w:val="000000" w:themeColor="text1"/>
        </w:rPr>
      </w:pPr>
      <w:r w:rsidRPr="00EA6985">
        <w:rPr>
          <w:rFonts w:cstheme="minorHAnsi"/>
          <w:b/>
          <w:noProof/>
          <w:color w:val="000000" w:themeColor="text1"/>
        </w:rPr>
        <w:t>Main characteristics of modern monetary systems</w:t>
      </w:r>
    </w:p>
    <w:p w14:paraId="5D66364E" w14:textId="77777777" w:rsidR="00017956" w:rsidRPr="00EA6985" w:rsidRDefault="00463236" w:rsidP="00017956">
      <w:pPr>
        <w:spacing w:before="120" w:after="120" w:line="240" w:lineRule="auto"/>
        <w:ind w:firstLine="360"/>
        <w:rPr>
          <w:rFonts w:cstheme="minorHAnsi"/>
          <w:noProof/>
          <w:color w:val="000000" w:themeColor="text1"/>
        </w:rPr>
      </w:pPr>
      <w:r w:rsidRPr="00EA6985">
        <w:rPr>
          <w:rFonts w:cstheme="minorHAnsi"/>
          <w:noProof/>
          <w:color w:val="000000" w:themeColor="text1"/>
        </w:rPr>
        <w:t xml:space="preserve">Monetary systems are composed on two main components, a unit of account and a variety of monetary instruments. </w:t>
      </w:r>
      <w:r w:rsidR="00017956" w:rsidRPr="00EA6985">
        <w:rPr>
          <w:rFonts w:cstheme="minorHAnsi"/>
          <w:noProof/>
          <w:color w:val="000000" w:themeColor="text1"/>
        </w:rPr>
        <w:t xml:space="preserve">When monetary sovereignty prevails, the government is the monopoly supplier </w:t>
      </w:r>
      <w:r w:rsidRPr="00EA6985">
        <w:rPr>
          <w:rFonts w:cstheme="minorHAnsi"/>
          <w:noProof/>
          <w:color w:val="000000" w:themeColor="text1"/>
        </w:rPr>
        <w:t xml:space="preserve">of a specific monetary instrument, </w:t>
      </w:r>
      <w:r w:rsidR="00017956" w:rsidRPr="00EA6985">
        <w:rPr>
          <w:rFonts w:cstheme="minorHAnsi"/>
          <w:noProof/>
          <w:color w:val="000000" w:themeColor="text1"/>
        </w:rPr>
        <w:t xml:space="preserve">the domestic currency (that can take the form of physical cash or be immaterial such as accounts at the central bank). This does not mean that the government is the only issuer of monetary instruments. MMT starts from the simple premise </w:t>
      </w:r>
      <w:r w:rsidR="00017956" w:rsidRPr="00EA6985">
        <w:rPr>
          <w:rStyle w:val="css-901oao"/>
          <w:rFonts w:cstheme="minorHAnsi"/>
          <w:noProof/>
          <w:color w:val="000000" w:themeColor="text1"/>
        </w:rPr>
        <w:t>put forward by Innes (1913, 1914) and echoed by Minsky:</w:t>
      </w:r>
    </w:p>
    <w:p w14:paraId="353E2AC3" w14:textId="77777777" w:rsidR="00017956" w:rsidRPr="00EA6985" w:rsidRDefault="00017956" w:rsidP="00017956">
      <w:pPr>
        <w:pStyle w:val="Quote"/>
        <w:spacing w:before="120" w:after="120" w:line="240" w:lineRule="auto"/>
        <w:rPr>
          <w:rFonts w:cstheme="minorHAnsi"/>
          <w:noProof/>
          <w:color w:val="000000" w:themeColor="text1"/>
        </w:rPr>
      </w:pPr>
      <w:r w:rsidRPr="00EA6985">
        <w:rPr>
          <w:rFonts w:cstheme="minorHAnsi"/>
          <w:noProof/>
          <w:color w:val="000000" w:themeColor="text1"/>
        </w:rPr>
        <w:t>An economy has a number of different types of money: everyone can create money; the problem is to get it accepted. (Minsky 1986, 228)</w:t>
      </w:r>
    </w:p>
    <w:p w14:paraId="2CFB4386" w14:textId="77777777" w:rsidR="00017956" w:rsidRPr="00EA6985" w:rsidRDefault="00017956" w:rsidP="00017956">
      <w:pPr>
        <w:spacing w:before="120" w:after="120" w:line="240" w:lineRule="auto"/>
        <w:rPr>
          <w:rFonts w:cstheme="minorHAnsi"/>
          <w:noProof/>
          <w:color w:val="000000" w:themeColor="text1"/>
        </w:rPr>
      </w:pPr>
      <w:r w:rsidRPr="00EA6985">
        <w:rPr>
          <w:rFonts w:cstheme="minorHAnsi"/>
          <w:noProof/>
          <w:color w:val="000000" w:themeColor="text1"/>
        </w:rPr>
        <w:lastRenderedPageBreak/>
        <w:t xml:space="preserve">From Innes’s “Law of </w:t>
      </w:r>
      <w:r w:rsidR="00463236" w:rsidRPr="00EA6985">
        <w:rPr>
          <w:rFonts w:cstheme="minorHAnsi"/>
          <w:noProof/>
          <w:color w:val="000000" w:themeColor="text1"/>
        </w:rPr>
        <w:t>Debt</w:t>
      </w:r>
      <w:r w:rsidRPr="00EA6985">
        <w:rPr>
          <w:rFonts w:cstheme="minorHAnsi"/>
          <w:noProof/>
          <w:color w:val="000000" w:themeColor="text1"/>
        </w:rPr>
        <w:t xml:space="preserve">,” MMT explains what determines the acceptance for anyone who issues monetary instruments and the process of monetization of economies. While doing so, MMT notes that governments have played a central role in modern monetary systems, that is, those established since Ancient Mesopotamia in 3100 BC. By using the work of legal scholars (e.g., Mann 1992; Nussbaum 1950; Desan 2014), historians (e.g., Hudson and </w:t>
      </w:r>
      <w:r w:rsidR="00463236" w:rsidRPr="00EA6985">
        <w:rPr>
          <w:rFonts w:cstheme="minorHAnsi"/>
          <w:noProof/>
          <w:color w:val="000000" w:themeColor="text1"/>
        </w:rPr>
        <w:t>Wunsch</w:t>
      </w:r>
      <w:r w:rsidRPr="00EA6985">
        <w:rPr>
          <w:rFonts w:cstheme="minorHAnsi"/>
          <w:noProof/>
          <w:color w:val="000000" w:themeColor="text1"/>
        </w:rPr>
        <w:t xml:space="preserve"> 2000, 2004; Katsari 2011), anthropologists (e.g., Graeber 2015; Dalton 1965; Polanyi 1957), numismatists (e.g., Grierson 1977, 1979), sociologists (e.g., Ingham 2000, 2004) and economists (e.g., Hawtrey 1919; Smith 1832; MacLeod 1889; Knapp 1905; Murad 1943, 1954; Grubb 2008), MMT concludes that several elements of modern monetary systems are similar through time. </w:t>
      </w:r>
    </w:p>
    <w:p w14:paraId="3E5A2680" w14:textId="77777777" w:rsidR="00017956" w:rsidRPr="00EA6985" w:rsidRDefault="00017956" w:rsidP="00017956">
      <w:pPr>
        <w:spacing w:before="120" w:after="120" w:line="240" w:lineRule="auto"/>
        <w:ind w:firstLine="360"/>
        <w:rPr>
          <w:rFonts w:cstheme="minorHAnsi"/>
          <w:noProof/>
          <w:color w:val="000000" w:themeColor="text1"/>
        </w:rPr>
      </w:pPr>
      <w:r w:rsidRPr="00EA6985">
        <w:rPr>
          <w:rFonts w:cstheme="minorHAnsi"/>
          <w:noProof/>
          <w:color w:val="000000" w:themeColor="text1"/>
        </w:rPr>
        <w:t xml:space="preserve">First, modern monetary systems did not emerge out of trial and error guided by impersonal market forces in order to smooth exchange, but rather out of trial and error guided by the desire of an authority to draw resources from the rest of the economy. An alternative story of money is advanced that emphasizes slow socio-economic changes away from tribal societies (some of them unforeseen and unintended) and the exercise of power through coercion, law and deceit to maintain the flow of goods and services to a governing authority (Henry 2004). Overtime, one observes that a government (or the historically contingent ruling authority) determines the laws about the inner functioning of the domestic monetary system. The government chooses the domestic unit of account, issues the domestic currency, establishes legal tender laws, regulates banking and finance, and writes the laws about payment mechanisms. Within this process, the governing authority sometimes has had to compete with powerful financial and merchant classes as well as other governments, but the centrality of the governing authority in shaping monetary systems is undeniable, albeit ignored, in the barter story of money. </w:t>
      </w:r>
    </w:p>
    <w:p w14:paraId="2383C688" w14:textId="77777777" w:rsidR="00017956" w:rsidRPr="00EA6985" w:rsidRDefault="00017956" w:rsidP="00017956">
      <w:pPr>
        <w:spacing w:before="120" w:after="120" w:line="240" w:lineRule="auto"/>
        <w:ind w:firstLine="360"/>
        <w:rPr>
          <w:rStyle w:val="css-901oao"/>
          <w:rFonts w:cstheme="minorHAnsi"/>
          <w:noProof/>
          <w:color w:val="000000" w:themeColor="text1"/>
        </w:rPr>
      </w:pPr>
      <w:r w:rsidRPr="00EA6985">
        <w:rPr>
          <w:rFonts w:cstheme="minorHAnsi"/>
          <w:noProof/>
          <w:color w:val="000000" w:themeColor="text1"/>
        </w:rPr>
        <w:t xml:space="preserve">There is actually very little historical evidence for the barter story of money as barter was a marginal aspect of tribal societies because they put reciprocity and hospitality at the center of their socio-economic relations </w:t>
      </w:r>
      <w:r w:rsidRPr="00EA6985">
        <w:rPr>
          <w:rStyle w:val="css-901oao"/>
          <w:rFonts w:cstheme="minorHAnsi"/>
          <w:noProof/>
          <w:color w:val="000000" w:themeColor="text1"/>
        </w:rPr>
        <w:t>(</w:t>
      </w:r>
      <w:r w:rsidRPr="00EA6985">
        <w:rPr>
          <w:rFonts w:cstheme="minorHAnsi"/>
          <w:noProof/>
          <w:color w:val="000000" w:themeColor="text1"/>
        </w:rPr>
        <w:t>Graeber 2015; Dalton 1982; Humphrey 1985; Bell and Henry 2001</w:t>
      </w:r>
      <w:r w:rsidRPr="00EA6985">
        <w:rPr>
          <w:rStyle w:val="css-901oao"/>
          <w:rFonts w:cstheme="minorHAnsi"/>
          <w:noProof/>
          <w:color w:val="000000" w:themeColor="text1"/>
        </w:rPr>
        <w:t xml:space="preserve">) and “primitive moneys” were used for a variety of reasons </w:t>
      </w:r>
      <w:r w:rsidR="007D0149" w:rsidRPr="00EA6985">
        <w:rPr>
          <w:rStyle w:val="css-901oao"/>
          <w:rFonts w:cstheme="minorHAnsi"/>
          <w:noProof/>
          <w:color w:val="000000" w:themeColor="text1"/>
        </w:rPr>
        <w:t xml:space="preserve">that were </w:t>
      </w:r>
      <w:r w:rsidRPr="00EA6985">
        <w:rPr>
          <w:rStyle w:val="css-901oao"/>
          <w:rFonts w:cstheme="minorHAnsi"/>
          <w:noProof/>
          <w:color w:val="000000" w:themeColor="text1"/>
        </w:rPr>
        <w:t>mostly unrelated to the need to exchange (Dalton 1965, 1982):</w:t>
      </w:r>
    </w:p>
    <w:p w14:paraId="11641491" w14:textId="77777777" w:rsidR="00017956" w:rsidRPr="00EA6985" w:rsidRDefault="00017956" w:rsidP="00017956">
      <w:pPr>
        <w:pStyle w:val="Quote"/>
        <w:rPr>
          <w:rStyle w:val="css-901oao"/>
          <w:rFonts w:cstheme="minorHAnsi"/>
          <w:noProof/>
          <w:color w:val="000000" w:themeColor="text1"/>
        </w:rPr>
      </w:pPr>
      <w:r w:rsidRPr="00EA6985">
        <w:rPr>
          <w:rFonts w:cstheme="minorHAnsi"/>
          <w:noProof/>
        </w:rPr>
        <w:t xml:space="preserve">The centralizing institution around which tribal society is organized is the rule of hospitality, a universal social relationship among early societies. […] Hospitality followed from the collective control of the production process, based on collective control of the means of production. […] Hospitality, then, is the extension of the underlying collectivist production/consumption arrangement. All had an equal right to the output produced by all on the means of production controlled by all. Hospitality, or the mutual right and obligation to receive and provide subsistence, was the final equaliser. […] Hospitality cannot be cast into a modern insurance context (as does Posner) […]. Hospitality was not limited to kin: strangers (nonkin) were offered the same rights, but were under no obligation to provide hospitality—as they were not kin. Hospitality was not, therefore, based on self-interests, but represented a social relationship based on an ideological outlook quite different from (and alien to) that of modern, property-based, humans. […] As all had a right to subsistence (and a responsibility to provide it), it is obvious that early humans could not engage in exchange of any sort. Exchange requires several conditions […] goods must be privately owned […]; they must be institutionally organized to allow sale and purchase; some form of gain must be expected in the transaction […]. Exchange connotes that society has lost collective control over the production and distribution of output […]. […] All exchange is a form of </w:t>
      </w:r>
      <w:r w:rsidRPr="00EA6985">
        <w:rPr>
          <w:rStyle w:val="highlight"/>
          <w:rFonts w:cstheme="minorHAnsi"/>
          <w:noProof/>
        </w:rPr>
        <w:t>trade</w:t>
      </w:r>
      <w:r w:rsidRPr="00EA6985">
        <w:rPr>
          <w:rFonts w:cstheme="minorHAnsi"/>
          <w:noProof/>
        </w:rPr>
        <w:t xml:space="preserve">, but </w:t>
      </w:r>
      <w:r w:rsidRPr="00EA6985">
        <w:rPr>
          <w:rStyle w:val="highlight"/>
          <w:rFonts w:cstheme="minorHAnsi"/>
          <w:noProof/>
        </w:rPr>
        <w:t>trade</w:t>
      </w:r>
      <w:r w:rsidRPr="00EA6985">
        <w:rPr>
          <w:rFonts w:cstheme="minorHAnsi"/>
          <w:noProof/>
        </w:rPr>
        <w:t xml:space="preserve"> need not be exchange: </w:t>
      </w:r>
      <w:r w:rsidRPr="00EA6985">
        <w:rPr>
          <w:rFonts w:cstheme="minorHAnsi"/>
          <w:noProof/>
        </w:rPr>
        <w:lastRenderedPageBreak/>
        <w:t xml:space="preserve">trading can readily take place without satisfying any of the above conditions. […] In tribal society, the above conditions cannot be satisfied. […] Primitive society certainly did engage in various forms of </w:t>
      </w:r>
      <w:r w:rsidRPr="00EA6985">
        <w:rPr>
          <w:rStyle w:val="highlight"/>
          <w:rFonts w:cstheme="minorHAnsi"/>
          <w:noProof/>
        </w:rPr>
        <w:t>trade</w:t>
      </w:r>
      <w:r w:rsidRPr="00EA6985">
        <w:rPr>
          <w:rFonts w:cstheme="minorHAnsi"/>
          <w:noProof/>
        </w:rPr>
        <w:t xml:space="preserve">, however. […] But </w:t>
      </w:r>
      <w:r w:rsidRPr="00EA6985">
        <w:rPr>
          <w:rStyle w:val="highlight"/>
          <w:rFonts w:cstheme="minorHAnsi"/>
          <w:noProof/>
        </w:rPr>
        <w:t>trade</w:t>
      </w:r>
      <w:r w:rsidRPr="00EA6985">
        <w:rPr>
          <w:rFonts w:cstheme="minorHAnsi"/>
          <w:noProof/>
        </w:rPr>
        <w:t xml:space="preserve"> was conducted on a non-exchange basis. Villages would simply transfer goods of which they had a surfeit to villages producing goods of which the initial village was in need. […] Villages, as they practiced the same egalitarian behavior, could be trusted to treat each other in an equitable fashion. […] For tribal economies, however, </w:t>
      </w:r>
      <w:r w:rsidRPr="00EA6985">
        <w:rPr>
          <w:rStyle w:val="highlight"/>
          <w:rFonts w:cstheme="minorHAnsi"/>
          <w:noProof/>
        </w:rPr>
        <w:t>trade</w:t>
      </w:r>
      <w:r w:rsidRPr="00EA6985">
        <w:rPr>
          <w:rFonts w:cstheme="minorHAnsi"/>
          <w:noProof/>
        </w:rPr>
        <w:t xml:space="preserve"> extended the rule of hospitality across tribal lines. (Bell and Henry 2001, 201-215)</w:t>
      </w:r>
    </w:p>
    <w:p w14:paraId="4775CB41" w14:textId="77777777" w:rsidR="00017956" w:rsidRPr="00EA6985" w:rsidRDefault="00017956" w:rsidP="00017956">
      <w:pPr>
        <w:spacing w:before="120" w:after="120" w:line="240" w:lineRule="auto"/>
        <w:ind w:firstLine="360"/>
        <w:rPr>
          <w:rFonts w:cstheme="minorHAnsi"/>
          <w:noProof/>
          <w:color w:val="000000" w:themeColor="text1"/>
        </w:rPr>
      </w:pPr>
      <w:r w:rsidRPr="00EA6985">
        <w:rPr>
          <w:rStyle w:val="css-901oao"/>
          <w:rFonts w:cstheme="minorHAnsi"/>
          <w:noProof/>
          <w:color w:val="000000" w:themeColor="text1"/>
        </w:rPr>
        <w:t>While barter has been observed widely, it has been “a minor, infrequent, petty, or emergency transactions” (Dalton 1982,</w:t>
      </w:r>
      <w:r w:rsidR="007D0149" w:rsidRPr="00EA6985">
        <w:rPr>
          <w:rStyle w:val="css-901oao"/>
          <w:rFonts w:cstheme="minorHAnsi"/>
          <w:noProof/>
          <w:color w:val="000000" w:themeColor="text1"/>
        </w:rPr>
        <w:t xml:space="preserve"> 185) that have </w:t>
      </w:r>
      <w:r w:rsidRPr="00EA6985">
        <w:rPr>
          <w:rStyle w:val="css-901oao"/>
          <w:rFonts w:cstheme="minorHAnsi"/>
          <w:noProof/>
          <w:color w:val="000000" w:themeColor="text1"/>
        </w:rPr>
        <w:t xml:space="preserve">never been a dominant, or even common, mode of moving production in any society; either because the socio-economic conditions for such transactions did not exist or because </w:t>
      </w:r>
      <w:r w:rsidR="007D0149" w:rsidRPr="00EA6985">
        <w:rPr>
          <w:rStyle w:val="css-901oao"/>
          <w:rFonts w:cstheme="minorHAnsi"/>
          <w:noProof/>
          <w:color w:val="000000" w:themeColor="text1"/>
        </w:rPr>
        <w:t xml:space="preserve">barter has </w:t>
      </w:r>
      <w:r w:rsidRPr="00EA6985">
        <w:rPr>
          <w:rStyle w:val="css-901oao"/>
          <w:rFonts w:cstheme="minorHAnsi"/>
          <w:noProof/>
          <w:color w:val="000000" w:themeColor="text1"/>
        </w:rPr>
        <w:t xml:space="preserve">been highly inconvenient. As such, barter cannot be the driving force behind the convergence process. However, the convergence process itself is doubtful because there is no historical evidence backing it—it is purely speculative—and it is theoretically problematic (Ingham 2000). </w:t>
      </w:r>
      <w:r w:rsidR="00866C6D" w:rsidRPr="00EA6985">
        <w:rPr>
          <w:rStyle w:val="css-901oao"/>
          <w:rFonts w:cstheme="minorHAnsi"/>
          <w:noProof/>
          <w:color w:val="000000" w:themeColor="text1"/>
        </w:rPr>
        <w:t xml:space="preserve">Even the case of </w:t>
      </w:r>
      <w:r w:rsidR="00AD67BE" w:rsidRPr="00EA6985">
        <w:rPr>
          <w:rStyle w:val="css-901oao"/>
          <w:rFonts w:cstheme="minorHAnsi"/>
          <w:noProof/>
          <w:color w:val="000000" w:themeColor="text1"/>
        </w:rPr>
        <w:t xml:space="preserve">cigarettes used as medium of exchange in </w:t>
      </w:r>
      <w:r w:rsidR="00866C6D" w:rsidRPr="00EA6985">
        <w:rPr>
          <w:rStyle w:val="css-901oao"/>
          <w:rFonts w:cstheme="minorHAnsi"/>
          <w:noProof/>
          <w:color w:val="000000" w:themeColor="text1"/>
        </w:rPr>
        <w:t>POW camp</w:t>
      </w:r>
      <w:r w:rsidR="00AD67BE" w:rsidRPr="00EA6985">
        <w:rPr>
          <w:rStyle w:val="css-901oao"/>
          <w:rFonts w:cstheme="minorHAnsi"/>
          <w:noProof/>
          <w:color w:val="000000" w:themeColor="text1"/>
        </w:rPr>
        <w:t>s</w:t>
      </w:r>
      <w:r w:rsidR="00866C6D" w:rsidRPr="00EA6985">
        <w:rPr>
          <w:rStyle w:val="css-901oao"/>
          <w:rFonts w:cstheme="minorHAnsi"/>
          <w:noProof/>
          <w:color w:val="000000" w:themeColor="text1"/>
        </w:rPr>
        <w:t xml:space="preserve"> does not fit the bill of spontaneous order but rather </w:t>
      </w:r>
      <w:r w:rsidR="00247D0E" w:rsidRPr="00EA6985">
        <w:rPr>
          <w:rStyle w:val="css-901oao"/>
          <w:rFonts w:cstheme="minorHAnsi"/>
          <w:noProof/>
          <w:color w:val="000000" w:themeColor="text1"/>
        </w:rPr>
        <w:t>reflects conditions imposed by the state apparatus</w:t>
      </w:r>
      <w:r w:rsidR="00866C6D" w:rsidRPr="00EA6985">
        <w:rPr>
          <w:rStyle w:val="css-901oao"/>
          <w:rFonts w:cstheme="minorHAnsi"/>
          <w:noProof/>
          <w:color w:val="000000" w:themeColor="text1"/>
        </w:rPr>
        <w:t xml:space="preserve"> (Desan </w:t>
      </w:r>
      <w:r w:rsidR="00D17ACA" w:rsidRPr="00EA6985">
        <w:rPr>
          <w:rStyle w:val="css-901oao"/>
          <w:rFonts w:cstheme="minorHAnsi"/>
          <w:noProof/>
          <w:color w:val="000000" w:themeColor="text1"/>
        </w:rPr>
        <w:t>2010</w:t>
      </w:r>
      <w:r w:rsidR="00866C6D" w:rsidRPr="00EA6985">
        <w:rPr>
          <w:rStyle w:val="css-901oao"/>
          <w:rFonts w:cstheme="minorHAnsi"/>
          <w:noProof/>
          <w:color w:val="000000" w:themeColor="text1"/>
        </w:rPr>
        <w:t xml:space="preserve">). </w:t>
      </w:r>
      <w:r w:rsidRPr="00EA6985">
        <w:rPr>
          <w:rStyle w:val="css-901oao"/>
          <w:rFonts w:cstheme="minorHAnsi"/>
          <w:noProof/>
          <w:color w:val="000000" w:themeColor="text1"/>
        </w:rPr>
        <w:t>In addition, ledgers, not physical objects, played a crucial role in early modern monetary systems.</w:t>
      </w:r>
      <w:r w:rsidRPr="00EA6985">
        <w:rPr>
          <w:rFonts w:cstheme="minorHAnsi"/>
          <w:noProof/>
          <w:color w:val="000000" w:themeColor="text1"/>
        </w:rPr>
        <w:t xml:space="preserve"> </w:t>
      </w:r>
    </w:p>
    <w:p w14:paraId="0D034885" w14:textId="5C3F1E69" w:rsidR="00017956" w:rsidRPr="00EA6985" w:rsidRDefault="00017956" w:rsidP="00017956">
      <w:pPr>
        <w:spacing w:before="120" w:after="120" w:line="240" w:lineRule="auto"/>
        <w:ind w:firstLine="360"/>
        <w:rPr>
          <w:rFonts w:cstheme="minorHAnsi"/>
          <w:noProof/>
          <w:color w:val="000000" w:themeColor="text1"/>
        </w:rPr>
      </w:pPr>
      <w:r w:rsidRPr="00EA6985">
        <w:rPr>
          <w:rFonts w:cstheme="minorHAnsi"/>
          <w:noProof/>
          <w:color w:val="000000" w:themeColor="text1"/>
        </w:rPr>
        <w:t xml:space="preserve">Second, instead of solving a double coincidence of wants problem, modern monetary systems emerged to solve a resource-centralization problem. Modern monetary systems have been tax-driven, where “tax” is defined broadly to include any dues owed to the government (taxes, tributes, fees, fines, among others) (Forstater 2006; Tcherneva 2006). In order to incentivize </w:t>
      </w:r>
      <w:r w:rsidR="00845DDC">
        <w:rPr>
          <w:rFonts w:cstheme="minorHAnsi"/>
          <w:noProof/>
          <w:color w:val="000000" w:themeColor="text1"/>
        </w:rPr>
        <w:t>members of the community</w:t>
      </w:r>
      <w:r w:rsidRPr="00EA6985">
        <w:rPr>
          <w:rFonts w:cstheme="minorHAnsi"/>
          <w:noProof/>
          <w:color w:val="000000" w:themeColor="text1"/>
        </w:rPr>
        <w:t xml:space="preserve"> </w:t>
      </w:r>
      <w:r w:rsidR="00845DDC">
        <w:rPr>
          <w:rFonts w:cstheme="minorHAnsi"/>
          <w:noProof/>
          <w:color w:val="000000" w:themeColor="text1"/>
        </w:rPr>
        <w:t xml:space="preserve">to accept the domestic currency as a means of payment </w:t>
      </w:r>
      <w:r w:rsidR="00BF146B">
        <w:rPr>
          <w:rFonts w:cstheme="minorHAnsi"/>
          <w:noProof/>
          <w:color w:val="000000" w:themeColor="text1"/>
        </w:rPr>
        <w:t xml:space="preserve">for the resources that </w:t>
      </w:r>
      <w:r w:rsidR="00845DDC">
        <w:rPr>
          <w:rFonts w:cstheme="minorHAnsi"/>
          <w:noProof/>
          <w:color w:val="000000" w:themeColor="text1"/>
        </w:rPr>
        <w:t xml:space="preserve">they </w:t>
      </w:r>
      <w:r w:rsidRPr="00EA6985">
        <w:rPr>
          <w:rFonts w:cstheme="minorHAnsi"/>
          <w:noProof/>
          <w:color w:val="000000" w:themeColor="text1"/>
        </w:rPr>
        <w:t xml:space="preserve">provide for the public purpose, the government first imposes dues—tax liabilities—and it simultaneously promises that the discharge of dues—tax payments—can be done with the domestic currency that the governing authority issues to pay for the resources it wants. Overtime, the government enforces the payment of dues and those who cannot or will not make the required payments to settle their tax liabilities face adverse consequences ranging from fines to imprisonment to death. The emergence of tax-driven monetary systems can be traced back to the transformation of tribal societies into </w:t>
      </w:r>
      <w:r w:rsidR="007D0149" w:rsidRPr="00EA6985">
        <w:rPr>
          <w:rFonts w:cstheme="minorHAnsi"/>
          <w:noProof/>
          <w:color w:val="000000" w:themeColor="text1"/>
        </w:rPr>
        <w:t xml:space="preserve">centralized </w:t>
      </w:r>
      <w:r w:rsidRPr="00EA6985">
        <w:rPr>
          <w:rFonts w:cstheme="minorHAnsi"/>
          <w:noProof/>
          <w:color w:val="000000" w:themeColor="text1"/>
        </w:rPr>
        <w:t>agrarian societies (Tymoigne and Wray 2006). This centralization emerged as the rules of primitive tribal societies weakened</w:t>
      </w:r>
      <w:r w:rsidR="007D0149" w:rsidRPr="00EA6985">
        <w:rPr>
          <w:rFonts w:cstheme="minorHAnsi"/>
          <w:noProof/>
          <w:color w:val="000000" w:themeColor="text1"/>
        </w:rPr>
        <w:t>,</w:t>
      </w:r>
      <w:r w:rsidRPr="00EA6985">
        <w:rPr>
          <w:rFonts w:cstheme="minorHAnsi"/>
          <w:noProof/>
          <w:color w:val="000000" w:themeColor="text1"/>
        </w:rPr>
        <w:t xml:space="preserve"> bringing profound social changes (Henry 2004). A highly organized and stratified society with a religious upper class formed</w:t>
      </w:r>
      <w:r w:rsidR="007D0149" w:rsidRPr="00EA6985">
        <w:rPr>
          <w:rFonts w:cstheme="minorHAnsi"/>
          <w:noProof/>
          <w:color w:val="000000" w:themeColor="text1"/>
        </w:rPr>
        <w:t>.</w:t>
      </w:r>
      <w:r w:rsidRPr="00EA6985">
        <w:rPr>
          <w:rFonts w:cstheme="minorHAnsi"/>
          <w:noProof/>
          <w:color w:val="000000" w:themeColor="text1"/>
        </w:rPr>
        <w:t xml:space="preserve"> Reciprocity was weakened. Religion replaced magic and there was a transformation of pre-legal obligations defined by customs (“wergild”) into legal and sacral compulsory standardized obligations imposed on the general population (“debt to society”) that took the form of taxes, tributes, fines, etc. (Polanyi 1957; Innes 1913, 1932; Grierson 1977, 1979; Semenova 2011; Graeber 2011; Ingham 2004; Alary et al. 2016). Keeping track of the payments of such debts led to the invention of primitive accounting and the </w:t>
      </w:r>
      <w:r w:rsidR="00AD67BE" w:rsidRPr="00EA6985">
        <w:rPr>
          <w:rFonts w:cstheme="minorHAnsi"/>
          <w:noProof/>
          <w:color w:val="000000" w:themeColor="text1"/>
        </w:rPr>
        <w:t>use</w:t>
      </w:r>
      <w:r w:rsidRPr="00EA6985">
        <w:rPr>
          <w:rFonts w:cstheme="minorHAnsi"/>
          <w:noProof/>
          <w:color w:val="000000" w:themeColor="text1"/>
        </w:rPr>
        <w:t xml:space="preserve"> of a unit of account by priests. For example, in Babylonia during the late Uruk period (3100 B.C.), there were at least three different kinds of obligations: gifts to gods that became “regularized, standardized, and obligatory for the general populace” (Schmandt-Besserat 1992, 172, 180), duties in terms of the provision of a portion of the production goal determined by Royal standard (Nissen et al. 1993, </w:t>
      </w:r>
      <w:r w:rsidR="007D0149" w:rsidRPr="00EA6985">
        <w:rPr>
          <w:rFonts w:cstheme="minorHAnsi"/>
          <w:noProof/>
          <w:color w:val="000000" w:themeColor="text1"/>
        </w:rPr>
        <w:t>ch.</w:t>
      </w:r>
      <w:r w:rsidRPr="00EA6985">
        <w:rPr>
          <w:rFonts w:cstheme="minorHAnsi"/>
          <w:noProof/>
          <w:color w:val="000000" w:themeColor="text1"/>
        </w:rPr>
        <w:t xml:space="preserve"> 11), and tributes from cities conquered by southern city states (Schmandt-Besserat 1992, 182-183). By using force (military conquests, physical harm and imprisonment), deceit (subversion of tribal magic by a state religion) and the law (imposition of compulsory debts and determination of the means to pay them), a religious authority was able to obtain vast quantities of resources. As such, the exercise of power for the benefit of a minority, not mutually beneficial impersonal exchange among voluntary parties, was the source of modern monetary systems.</w:t>
      </w:r>
    </w:p>
    <w:p w14:paraId="5201C9DE" w14:textId="77777777" w:rsidR="00017956" w:rsidRPr="00EA6985" w:rsidRDefault="00017956" w:rsidP="00017956">
      <w:pPr>
        <w:spacing w:before="120" w:after="120" w:line="240" w:lineRule="auto"/>
        <w:ind w:firstLine="360"/>
        <w:rPr>
          <w:rFonts w:cstheme="minorHAnsi"/>
          <w:noProof/>
          <w:color w:val="000000" w:themeColor="text1"/>
        </w:rPr>
      </w:pPr>
      <w:r w:rsidRPr="00EA6985">
        <w:rPr>
          <w:rFonts w:cstheme="minorHAnsi"/>
          <w:noProof/>
          <w:color w:val="000000" w:themeColor="text1"/>
        </w:rPr>
        <w:lastRenderedPageBreak/>
        <w:t>Third, t</w:t>
      </w:r>
      <w:r w:rsidRPr="00EA6985">
        <w:rPr>
          <w:rStyle w:val="css-901oao"/>
          <w:rFonts w:cstheme="minorHAnsi"/>
          <w:noProof/>
          <w:color w:val="000000" w:themeColor="text1"/>
        </w:rPr>
        <w:t xml:space="preserve">hrough trials and errors over millennia, governing authorities have perfected and adapted tax-driven monetary systems </w:t>
      </w:r>
      <w:r w:rsidRPr="00EA6985">
        <w:rPr>
          <w:rFonts w:cstheme="minorHAnsi"/>
          <w:noProof/>
          <w:color w:val="000000" w:themeColor="text1"/>
        </w:rPr>
        <w:t xml:space="preserve">as they experimented with different ways to obtain resources. </w:t>
      </w:r>
      <w:r w:rsidRPr="00EA6985">
        <w:rPr>
          <w:rStyle w:val="css-901oao"/>
          <w:rFonts w:cstheme="minorHAnsi"/>
          <w:noProof/>
          <w:color w:val="000000" w:themeColor="text1"/>
        </w:rPr>
        <w:t xml:space="preserve">A tax-driven monetary system is subject to several specific risks related to the ability and willingness of the issuing authority to impose and enforce tax liabilities. Wars, political instabilities, technical problems, errors in setting up a monetary system and ignorance have led to major monetary instability as the public </w:t>
      </w:r>
      <w:r w:rsidRPr="00EA6985">
        <w:rPr>
          <w:rFonts w:cstheme="minorHAnsi"/>
          <w:noProof/>
          <w:color w:val="000000" w:themeColor="text1"/>
        </w:rPr>
        <w:t xml:space="preserve">trust in a government’s ability and willingness </w:t>
      </w:r>
      <w:r w:rsidRPr="00EA6985">
        <w:rPr>
          <w:rStyle w:val="css-901oao"/>
          <w:rFonts w:cstheme="minorHAnsi"/>
          <w:noProof/>
          <w:color w:val="000000" w:themeColor="text1"/>
        </w:rPr>
        <w:t xml:space="preserve">to impose and enforce tax liabilities was put in doubt. </w:t>
      </w:r>
      <w:r w:rsidRPr="00EA6985">
        <w:rPr>
          <w:rFonts w:cstheme="minorHAnsi"/>
          <w:noProof/>
          <w:color w:val="000000" w:themeColor="text1"/>
        </w:rPr>
        <w:t>In such cases, a government may see its monetary sovereignty be</w:t>
      </w:r>
      <w:r w:rsidR="007D0149" w:rsidRPr="00EA6985">
        <w:rPr>
          <w:rFonts w:cstheme="minorHAnsi"/>
          <w:noProof/>
          <w:color w:val="000000" w:themeColor="text1"/>
        </w:rPr>
        <w:t>ing</w:t>
      </w:r>
      <w:r w:rsidRPr="00EA6985">
        <w:rPr>
          <w:rFonts w:cstheme="minorHAnsi"/>
          <w:noProof/>
          <w:color w:val="000000" w:themeColor="text1"/>
        </w:rPr>
        <w:t xml:space="preserve"> challenged, which limits the circulation of the domestic currency and creates problems </w:t>
      </w:r>
      <w:r w:rsidR="007D0149" w:rsidRPr="00EA6985">
        <w:rPr>
          <w:rFonts w:cstheme="minorHAnsi"/>
          <w:noProof/>
          <w:color w:val="000000" w:themeColor="text1"/>
        </w:rPr>
        <w:t>in moving</w:t>
      </w:r>
      <w:r w:rsidRPr="00EA6985">
        <w:rPr>
          <w:rFonts w:cstheme="minorHAnsi"/>
          <w:noProof/>
          <w:color w:val="000000" w:themeColor="text1"/>
        </w:rPr>
        <w:t xml:space="preserve"> resources for the public purpose. For example, in countries where tax evasion is common, the corruption of tax officials is widespread, and a large informal sector exists, the population may use the domestic currency only to transact with the government while it uses a foreign currency for private transactions. In such case, the population also may not feel as compelled to sell goods and services to the government. The government may have to raise the prices it pays for the resources it buys as it competes with the private and foreign sectors. In addition, over the course of monetary history, one observes that depending what is more effective to draw resources, the governing authority at times emphasizes the nominal characteristics of monetary systems while at others it emphasizes their metallic characteristics. The choice depends heavily on the governing authority’s political power and its ability to control or offset developments in metals market. A decline in political power is accompanied by a demonetization of economies and an emphasis by the governing authority on metalism. When the governing authority has emphasized nominalist characteristics, the ability and willingness of an issuer (governing authority or others) to redeem its monetary instruments at par on demand has been the core element of a</w:t>
      </w:r>
      <w:r w:rsidR="003F5A8F" w:rsidRPr="00EA6985">
        <w:rPr>
          <w:rFonts w:cstheme="minorHAnsi"/>
          <w:noProof/>
          <w:color w:val="000000" w:themeColor="text1"/>
        </w:rPr>
        <w:t>cceptance (Tymoigne 2014, 2020</w:t>
      </w:r>
      <w:r w:rsidRPr="00EA6985">
        <w:rPr>
          <w:rFonts w:cstheme="minorHAnsi"/>
          <w:noProof/>
          <w:color w:val="000000" w:themeColor="text1"/>
        </w:rPr>
        <w:t>) (REDEMPTION ENTRY).</w:t>
      </w:r>
    </w:p>
    <w:p w14:paraId="29AA224A" w14:textId="77777777" w:rsidR="00017956" w:rsidRPr="00EA6985" w:rsidRDefault="00017956" w:rsidP="00017956">
      <w:pPr>
        <w:spacing w:before="120" w:after="120" w:line="240" w:lineRule="auto"/>
        <w:ind w:firstLine="360"/>
        <w:rPr>
          <w:rStyle w:val="css-901oao"/>
          <w:rFonts w:cstheme="minorHAnsi"/>
          <w:noProof/>
          <w:color w:val="000000" w:themeColor="text1"/>
        </w:rPr>
      </w:pPr>
      <w:r w:rsidRPr="00EA6985">
        <w:rPr>
          <w:rStyle w:val="css-901oao"/>
          <w:rFonts w:cstheme="minorHAnsi"/>
          <w:noProof/>
          <w:color w:val="000000" w:themeColor="text1"/>
        </w:rPr>
        <w:t xml:space="preserve">Fourth, </w:t>
      </w:r>
      <w:r w:rsidRPr="00EA6985">
        <w:rPr>
          <w:rFonts w:cstheme="minorHAnsi"/>
          <w:noProof/>
          <w:color w:val="000000" w:themeColor="text1"/>
        </w:rPr>
        <w:t>none of the previous points implies that the government is the only player in a monetary system, or that most monetary instruments are tax driven</w:t>
      </w:r>
      <w:r w:rsidRPr="00EA6985">
        <w:rPr>
          <w:rStyle w:val="css-901oao"/>
          <w:rFonts w:cstheme="minorHAnsi"/>
          <w:noProof/>
          <w:color w:val="000000" w:themeColor="text1"/>
        </w:rPr>
        <w:t xml:space="preserve">. The acceptance of a monetary instrument </w:t>
      </w:r>
      <w:r w:rsidR="00AD67BE" w:rsidRPr="00EA6985">
        <w:rPr>
          <w:rStyle w:val="css-901oao"/>
          <w:rFonts w:cstheme="minorHAnsi"/>
          <w:noProof/>
          <w:color w:val="000000" w:themeColor="text1"/>
        </w:rPr>
        <w:t xml:space="preserve">by the public </w:t>
      </w:r>
      <w:r w:rsidRPr="00EA6985">
        <w:rPr>
          <w:rStyle w:val="css-901oao"/>
          <w:rFonts w:cstheme="minorHAnsi"/>
          <w:noProof/>
          <w:color w:val="000000" w:themeColor="text1"/>
        </w:rPr>
        <w:t xml:space="preserve">depends in large part on power relations and an issuer has a higher chance </w:t>
      </w:r>
      <w:r w:rsidR="00AB271F" w:rsidRPr="00EA6985">
        <w:rPr>
          <w:rStyle w:val="css-901oao"/>
          <w:rFonts w:cstheme="minorHAnsi"/>
          <w:noProof/>
          <w:color w:val="000000" w:themeColor="text1"/>
        </w:rPr>
        <w:t xml:space="preserve">of </w:t>
      </w:r>
      <w:r w:rsidR="007D0149" w:rsidRPr="00EA6985">
        <w:rPr>
          <w:rStyle w:val="css-901oao"/>
          <w:rFonts w:cstheme="minorHAnsi"/>
          <w:noProof/>
          <w:color w:val="000000" w:themeColor="text1"/>
        </w:rPr>
        <w:t>having</w:t>
      </w:r>
      <w:r w:rsidRPr="00EA6985">
        <w:rPr>
          <w:rStyle w:val="css-901oao"/>
          <w:rFonts w:cstheme="minorHAnsi"/>
          <w:noProof/>
          <w:color w:val="000000" w:themeColor="text1"/>
        </w:rPr>
        <w:t xml:space="preserve"> its monetary instruments accepted if numerous economic units are indebted to that issuer. Debts owed to the issuer have been at the foundation of modern monetary systems even during the time of metal standards (Desan 2014;</w:t>
      </w:r>
      <w:r w:rsidR="003F5A8F" w:rsidRPr="00EA6985">
        <w:rPr>
          <w:rStyle w:val="css-901oao"/>
          <w:rFonts w:cstheme="minorHAnsi"/>
          <w:noProof/>
          <w:color w:val="000000" w:themeColor="text1"/>
        </w:rPr>
        <w:t xml:space="preserve"> Tymoigne 2014</w:t>
      </w:r>
      <w:r w:rsidRPr="00EA6985">
        <w:rPr>
          <w:rStyle w:val="css-901oao"/>
          <w:rFonts w:cstheme="minorHAnsi"/>
          <w:noProof/>
          <w:color w:val="000000" w:themeColor="text1"/>
        </w:rPr>
        <w:t>). As such, there is a pyramid/hierarchy of monetary instruments, with the most widely accepted monetary instruments at the top (Bell 2001; Innes 1913; Murad 1954). Government monetary instruments are usually at the top (unless they are convertible) because a government is able to impose dues on most people in its area of influence; such instruments</w:t>
      </w:r>
      <w:r w:rsidR="00D50116" w:rsidRPr="00EA6985">
        <w:rPr>
          <w:rStyle w:val="css-901oao"/>
          <w:rFonts w:cstheme="minorHAnsi"/>
          <w:noProof/>
          <w:color w:val="000000" w:themeColor="text1"/>
        </w:rPr>
        <w:t xml:space="preserve"> are tax driven and the g</w:t>
      </w:r>
      <w:r w:rsidRPr="00EA6985">
        <w:rPr>
          <w:rStyle w:val="css-901oao"/>
          <w:rFonts w:cstheme="minorHAnsi"/>
          <w:noProof/>
          <w:color w:val="000000" w:themeColor="text1"/>
        </w:rPr>
        <w:t xml:space="preserve">overnment has a monopoly over the issuance of such instruments (the domestic currency). Below </w:t>
      </w:r>
      <w:r w:rsidR="00D50116" w:rsidRPr="00EA6985">
        <w:rPr>
          <w:rStyle w:val="css-901oao"/>
          <w:rFonts w:cstheme="minorHAnsi"/>
          <w:noProof/>
          <w:color w:val="000000" w:themeColor="text1"/>
        </w:rPr>
        <w:t xml:space="preserve">them </w:t>
      </w:r>
      <w:r w:rsidRPr="00EA6985">
        <w:rPr>
          <w:rStyle w:val="css-901oao"/>
          <w:rFonts w:cstheme="minorHAnsi"/>
          <w:noProof/>
          <w:color w:val="000000" w:themeColor="text1"/>
        </w:rPr>
        <w:t xml:space="preserve">are monetary instruments issued by competing banks. Such instruments are bank-debt driven because banks have numerous entities indebted to them and banks promise to </w:t>
      </w:r>
      <w:r w:rsidR="00AD67BE" w:rsidRPr="00EA6985">
        <w:rPr>
          <w:rStyle w:val="css-901oao"/>
          <w:rFonts w:cstheme="minorHAnsi"/>
          <w:noProof/>
          <w:color w:val="000000" w:themeColor="text1"/>
        </w:rPr>
        <w:t>accept</w:t>
      </w:r>
      <w:r w:rsidRPr="00EA6985">
        <w:rPr>
          <w:rStyle w:val="css-901oao"/>
          <w:rFonts w:cstheme="minorHAnsi"/>
          <w:noProof/>
          <w:color w:val="000000" w:themeColor="text1"/>
        </w:rPr>
        <w:t xml:space="preserve"> the instruments they issue </w:t>
      </w:r>
      <w:r w:rsidR="00AD67BE" w:rsidRPr="00EA6985">
        <w:rPr>
          <w:rStyle w:val="css-901oao"/>
          <w:rFonts w:cstheme="minorHAnsi"/>
          <w:noProof/>
          <w:color w:val="000000" w:themeColor="text1"/>
        </w:rPr>
        <w:t>as a means to pay</w:t>
      </w:r>
      <w:r w:rsidRPr="00EA6985">
        <w:rPr>
          <w:rStyle w:val="css-901oao"/>
          <w:rFonts w:cstheme="minorHAnsi"/>
          <w:noProof/>
          <w:color w:val="000000" w:themeColor="text1"/>
        </w:rPr>
        <w:t xml:space="preserve"> debts owed to them. The acceptance of bank monetary instruments is also driven by a promise by banks to convert them on demand and at par into tax-driven monetary instruments. Governments improved the liquidity of bank monetary instruments by ensuring par convertibility into the domestic currency and among monetary instruments issued by private banks. In the lower levels of the pyramid, one might find other monetary instruments but their acceptance dwindles as the number of counterparties indebted to the issuer becomes smaller. </w:t>
      </w:r>
    </w:p>
    <w:p w14:paraId="7EF24626" w14:textId="77777777" w:rsidR="00017956" w:rsidRPr="00EA6985" w:rsidRDefault="00017956" w:rsidP="00017956">
      <w:pPr>
        <w:spacing w:before="120" w:after="120" w:line="240" w:lineRule="auto"/>
        <w:ind w:firstLine="360"/>
        <w:rPr>
          <w:rFonts w:cstheme="minorHAnsi"/>
          <w:noProof/>
          <w:color w:val="000000" w:themeColor="text1"/>
        </w:rPr>
      </w:pPr>
      <w:r w:rsidRPr="00EA6985">
        <w:rPr>
          <w:rStyle w:val="css-901oao"/>
          <w:rFonts w:cstheme="minorHAnsi"/>
          <w:noProof/>
          <w:color w:val="000000" w:themeColor="text1"/>
        </w:rPr>
        <w:t xml:space="preserve">At all levels of the pyramid, the promise made by the issuer and redemption mechanisms that enforce that promise are crucial to generate acceptance among the public. </w:t>
      </w:r>
      <w:r w:rsidRPr="00EA6985">
        <w:rPr>
          <w:rFonts w:cstheme="minorHAnsi"/>
          <w:noProof/>
          <w:color w:val="000000" w:themeColor="text1"/>
        </w:rPr>
        <w:t xml:space="preserve">While users of a monetary instrument usually do not think about the ability to pay the issuer (taxes, debt services, </w:t>
      </w:r>
      <w:r w:rsidR="00D50116" w:rsidRPr="00EA6985">
        <w:rPr>
          <w:rFonts w:cstheme="minorHAnsi"/>
          <w:noProof/>
          <w:color w:val="000000" w:themeColor="text1"/>
        </w:rPr>
        <w:t>etc.</w:t>
      </w:r>
      <w:r w:rsidRPr="00EA6985">
        <w:rPr>
          <w:rFonts w:cstheme="minorHAnsi"/>
          <w:noProof/>
          <w:color w:val="000000" w:themeColor="text1"/>
        </w:rPr>
        <w:t xml:space="preserve">) when they accept it, without this ability the monetary system would be deeply crippled. When governments refuse to redeem their monetary instruments—through tax payments or conversion—these instruments tend to disappear from circulation unless there is no other means to perform economic transactions. In that </w:t>
      </w:r>
      <w:r w:rsidRPr="00EA6985">
        <w:rPr>
          <w:rFonts w:cstheme="minorHAnsi"/>
          <w:noProof/>
          <w:color w:val="000000" w:themeColor="text1"/>
        </w:rPr>
        <w:lastRenderedPageBreak/>
        <w:t xml:space="preserve">case, the pricing of such monetary instruments is deeply impaired because the valuation anchor provided by redemption channels disappeared </w:t>
      </w:r>
      <w:r w:rsidRPr="00EA6985">
        <w:rPr>
          <w:rStyle w:val="css-901oao"/>
          <w:rFonts w:cstheme="minorHAnsi"/>
          <w:noProof/>
          <w:color w:val="000000" w:themeColor="text1"/>
        </w:rPr>
        <w:t>(REDEMPTION ENTRY)</w:t>
      </w:r>
      <w:r w:rsidRPr="00EA6985">
        <w:rPr>
          <w:rFonts w:cstheme="minorHAnsi"/>
          <w:noProof/>
          <w:color w:val="000000" w:themeColor="text1"/>
        </w:rPr>
        <w:t>.</w:t>
      </w:r>
    </w:p>
    <w:p w14:paraId="2F7A14C5" w14:textId="77777777" w:rsidR="00017956" w:rsidRPr="00EA6985" w:rsidRDefault="00017956" w:rsidP="00017956">
      <w:pPr>
        <w:spacing w:before="60" w:after="60"/>
        <w:ind w:firstLine="360"/>
        <w:rPr>
          <w:rFonts w:cstheme="minorHAnsi"/>
          <w:noProof/>
          <w:color w:val="000000" w:themeColor="text1"/>
        </w:rPr>
      </w:pPr>
      <w:r w:rsidRPr="00EA6985">
        <w:rPr>
          <w:rFonts w:cstheme="minorHAnsi"/>
          <w:noProof/>
          <w:color w:val="000000" w:themeColor="text1"/>
        </w:rPr>
        <w:t xml:space="preserve">Fifth, the term “chartal” is not equivalent to state or an indicator of the existence of state monetary instruments. Knapp notes that a private “bank-note is a chartal document” (Knapp </w:t>
      </w:r>
      <w:r w:rsidR="00AD67BE" w:rsidRPr="00EA6985">
        <w:rPr>
          <w:rFonts w:cstheme="minorHAnsi"/>
          <w:noProof/>
          <w:color w:val="000000" w:themeColor="text1"/>
        </w:rPr>
        <w:t>1905 (1924)</w:t>
      </w:r>
      <w:r w:rsidRPr="00EA6985">
        <w:rPr>
          <w:rFonts w:cstheme="minorHAnsi"/>
          <w:noProof/>
          <w:color w:val="000000" w:themeColor="text1"/>
        </w:rPr>
        <w:t xml:space="preserve">, 132) that is the “chartal money of a pay-society or group which is not the State” but a “privately issued means of payment” (Knapp </w:t>
      </w:r>
      <w:r w:rsidR="00AD67BE" w:rsidRPr="00EA6985">
        <w:rPr>
          <w:rFonts w:cstheme="minorHAnsi"/>
          <w:noProof/>
          <w:color w:val="000000" w:themeColor="text1"/>
        </w:rPr>
        <w:t>1905 (</w:t>
      </w:r>
      <w:r w:rsidRPr="00EA6985">
        <w:rPr>
          <w:rFonts w:cstheme="minorHAnsi"/>
          <w:noProof/>
          <w:color w:val="000000" w:themeColor="text1"/>
        </w:rPr>
        <w:t>1924</w:t>
      </w:r>
      <w:r w:rsidR="00AD67BE" w:rsidRPr="00EA6985">
        <w:rPr>
          <w:rFonts w:cstheme="minorHAnsi"/>
          <w:noProof/>
          <w:color w:val="000000" w:themeColor="text1"/>
        </w:rPr>
        <w:t>)</w:t>
      </w:r>
      <w:r w:rsidRPr="00EA6985">
        <w:rPr>
          <w:rFonts w:cstheme="minorHAnsi"/>
          <w:noProof/>
          <w:color w:val="000000" w:themeColor="text1"/>
        </w:rPr>
        <w:t xml:space="preserve">, 145). If one looks at the </w:t>
      </w:r>
      <w:r w:rsidR="00D50116" w:rsidRPr="00EA6985">
        <w:rPr>
          <w:rFonts w:cstheme="minorHAnsi"/>
          <w:noProof/>
          <w:color w:val="000000" w:themeColor="text1"/>
        </w:rPr>
        <w:t xml:space="preserve">English </w:t>
      </w:r>
      <w:r w:rsidRPr="00EA6985">
        <w:rPr>
          <w:rFonts w:cstheme="minorHAnsi"/>
          <w:noProof/>
          <w:color w:val="000000" w:themeColor="text1"/>
        </w:rPr>
        <w:t xml:space="preserve">Oxford Dictionary, the following definition of </w:t>
      </w:r>
      <w:r w:rsidR="00D50116" w:rsidRPr="00EA6985">
        <w:rPr>
          <w:rFonts w:cstheme="minorHAnsi"/>
          <w:noProof/>
          <w:color w:val="000000" w:themeColor="text1"/>
        </w:rPr>
        <w:t>“c</w:t>
      </w:r>
      <w:r w:rsidRPr="00EA6985">
        <w:rPr>
          <w:rFonts w:cstheme="minorHAnsi"/>
          <w:noProof/>
          <w:color w:val="000000" w:themeColor="text1"/>
        </w:rPr>
        <w:t>harta</w:t>
      </w:r>
      <w:r w:rsidR="00D50116" w:rsidRPr="00EA6985">
        <w:rPr>
          <w:rFonts w:cstheme="minorHAnsi"/>
          <w:noProof/>
          <w:color w:val="000000" w:themeColor="text1"/>
        </w:rPr>
        <w:t>”</w:t>
      </w:r>
      <w:r w:rsidRPr="00EA6985">
        <w:rPr>
          <w:rFonts w:cstheme="minorHAnsi"/>
          <w:noProof/>
          <w:color w:val="000000" w:themeColor="text1"/>
        </w:rPr>
        <w:t xml:space="preserve"> is given:</w:t>
      </w:r>
    </w:p>
    <w:p w14:paraId="797B91DE" w14:textId="77777777" w:rsidR="00017956" w:rsidRPr="00EA6985" w:rsidRDefault="00017956" w:rsidP="00017956">
      <w:pPr>
        <w:pStyle w:val="Quote"/>
        <w:rPr>
          <w:rFonts w:cstheme="minorHAnsi"/>
          <w:noProof/>
          <w:color w:val="000000" w:themeColor="text1"/>
        </w:rPr>
      </w:pPr>
      <w:r w:rsidRPr="00EA6985">
        <w:rPr>
          <w:rFonts w:cstheme="minorHAnsi"/>
          <w:noProof/>
          <w:color w:val="000000" w:themeColor="text1"/>
        </w:rPr>
        <w:t xml:space="preserve">From the latin </w:t>
      </w:r>
      <w:r w:rsidRPr="00EA6985">
        <w:rPr>
          <w:rFonts w:cstheme="minorHAnsi"/>
          <w:i/>
          <w:noProof/>
          <w:color w:val="000000" w:themeColor="text1"/>
        </w:rPr>
        <w:t>charta</w:t>
      </w:r>
      <w:r w:rsidRPr="00EA6985">
        <w:rPr>
          <w:rFonts w:cstheme="minorHAnsi"/>
          <w:noProof/>
          <w:color w:val="000000" w:themeColor="text1"/>
        </w:rPr>
        <w:t xml:space="preserve">, or </w:t>
      </w:r>
      <w:r w:rsidRPr="00EA6985">
        <w:rPr>
          <w:rFonts w:cstheme="minorHAnsi"/>
          <w:i/>
          <w:noProof/>
          <w:color w:val="000000" w:themeColor="text1"/>
        </w:rPr>
        <w:t>carta</w:t>
      </w:r>
      <w:r w:rsidRPr="00EA6985">
        <w:rPr>
          <w:rFonts w:cstheme="minorHAnsi"/>
          <w:noProof/>
          <w:color w:val="000000" w:themeColor="text1"/>
        </w:rPr>
        <w:t xml:space="preserve"> papyrus, a leaf of papyrus, paper, a paper, writing, document. Adptation from the Greek </w:t>
      </w:r>
      <w:r w:rsidRPr="00EA6985">
        <w:rPr>
          <w:rFonts w:cstheme="minorHAnsi"/>
          <w:i/>
          <w:noProof/>
          <w:color w:val="000000" w:themeColor="text1"/>
        </w:rPr>
        <w:t>χάρτης</w:t>
      </w:r>
      <w:r w:rsidRPr="00EA6985">
        <w:rPr>
          <w:rFonts w:cstheme="minorHAnsi"/>
          <w:noProof/>
          <w:color w:val="000000" w:themeColor="text1"/>
        </w:rPr>
        <w:t xml:space="preserve"> a leaf of papyrus or paper. The common medival Latin for legal writing, charter. In Old English form, </w:t>
      </w:r>
      <w:r w:rsidRPr="00EA6985">
        <w:rPr>
          <w:rFonts w:cstheme="minorHAnsi"/>
          <w:i/>
          <w:noProof/>
          <w:color w:val="000000" w:themeColor="text1"/>
        </w:rPr>
        <w:t>carta</w:t>
      </w:r>
      <w:r w:rsidRPr="00EA6985">
        <w:rPr>
          <w:rFonts w:cstheme="minorHAnsi"/>
          <w:noProof/>
          <w:color w:val="000000" w:themeColor="text1"/>
        </w:rPr>
        <w:t xml:space="preserve">: Paper, letter. (Later only as Latin). </w:t>
      </w:r>
      <w:r w:rsidRPr="00EA6985">
        <w:rPr>
          <w:rFonts w:cstheme="minorHAnsi"/>
          <w:i/>
          <w:noProof/>
          <w:color w:val="000000" w:themeColor="text1"/>
        </w:rPr>
        <w:t>Obsolete</w:t>
      </w:r>
      <w:r w:rsidRPr="00EA6985">
        <w:rPr>
          <w:rFonts w:cstheme="minorHAnsi"/>
          <w:noProof/>
          <w:color w:val="000000" w:themeColor="text1"/>
        </w:rPr>
        <w:t xml:space="preserve"> (1000AD). A Charter. </w:t>
      </w:r>
      <w:r w:rsidRPr="00EA6985">
        <w:rPr>
          <w:rFonts w:cstheme="minorHAnsi"/>
          <w:i/>
          <w:noProof/>
          <w:color w:val="000000" w:themeColor="text1"/>
        </w:rPr>
        <w:t>Also used figuratively</w:t>
      </w:r>
      <w:r w:rsidRPr="00EA6985">
        <w:rPr>
          <w:rFonts w:cstheme="minorHAnsi"/>
          <w:noProof/>
          <w:color w:val="000000" w:themeColor="text1"/>
        </w:rPr>
        <w:t xml:space="preserve">. </w:t>
      </w:r>
    </w:p>
    <w:p w14:paraId="1497FCB8" w14:textId="77777777" w:rsidR="00017956" w:rsidRPr="00EA6985" w:rsidRDefault="00017956" w:rsidP="00017956">
      <w:pPr>
        <w:spacing w:before="60" w:after="60"/>
        <w:rPr>
          <w:rFonts w:cstheme="minorHAnsi"/>
          <w:noProof/>
          <w:color w:val="000000" w:themeColor="text1"/>
        </w:rPr>
      </w:pPr>
      <w:r w:rsidRPr="00EA6985">
        <w:rPr>
          <w:rFonts w:cstheme="minorHAnsi"/>
          <w:noProof/>
          <w:color w:val="000000" w:themeColor="text1"/>
        </w:rPr>
        <w:t>Knapp</w:t>
      </w:r>
      <w:r w:rsidR="00D50116" w:rsidRPr="00EA6985">
        <w:rPr>
          <w:rFonts w:cstheme="minorHAnsi"/>
          <w:noProof/>
          <w:color w:val="000000" w:themeColor="text1"/>
        </w:rPr>
        <w:t xml:space="preserve"> (1905 (1924), 132)</w:t>
      </w:r>
      <w:r w:rsidRPr="00EA6985">
        <w:rPr>
          <w:rFonts w:cstheme="minorHAnsi"/>
          <w:noProof/>
          <w:color w:val="000000" w:themeColor="text1"/>
        </w:rPr>
        <w:t xml:space="preserve"> provides an equivalent definition when he states that </w:t>
      </w:r>
      <w:r w:rsidR="00D50116" w:rsidRPr="00EA6985">
        <w:rPr>
          <w:rFonts w:cstheme="minorHAnsi"/>
          <w:noProof/>
          <w:color w:val="000000" w:themeColor="text1"/>
        </w:rPr>
        <w:t>c</w:t>
      </w:r>
      <w:r w:rsidRPr="00EA6985">
        <w:rPr>
          <w:rFonts w:cstheme="minorHAnsi"/>
          <w:noProof/>
          <w:color w:val="000000" w:themeColor="text1"/>
        </w:rPr>
        <w:t>harta “can bear the sense of ticket or token”</w:t>
      </w:r>
      <w:r w:rsidR="006E5042" w:rsidRPr="00EA6985">
        <w:rPr>
          <w:rFonts w:cstheme="minorHAnsi"/>
          <w:noProof/>
          <w:color w:val="000000" w:themeColor="text1"/>
        </w:rPr>
        <w:t>; a definition that can be traced back at least to William Potter in 1650 (</w:t>
      </w:r>
      <w:r w:rsidR="00AD67BE" w:rsidRPr="00EA6985">
        <w:rPr>
          <w:rFonts w:cstheme="minorHAnsi"/>
          <w:noProof/>
        </w:rPr>
        <w:t>Cesarano 2014,</w:t>
      </w:r>
      <w:r w:rsidR="006E5042" w:rsidRPr="00EA6985">
        <w:rPr>
          <w:rFonts w:cstheme="minorHAnsi"/>
          <w:noProof/>
        </w:rPr>
        <w:t xml:space="preserve"> 190)</w:t>
      </w:r>
      <w:r w:rsidRPr="00EA6985">
        <w:rPr>
          <w:rFonts w:cstheme="minorHAnsi"/>
          <w:noProof/>
          <w:color w:val="000000" w:themeColor="text1"/>
        </w:rPr>
        <w:t xml:space="preserve">. A governing authority, however, plays an important role in defining what is chartal. Indeed, chartal means of payment have to “be valid by law, but also must be made in a definite external form, which has previously been precisely laid down [by law]” (Knapp </w:t>
      </w:r>
      <w:r w:rsidR="00AD67BE" w:rsidRPr="00EA6985">
        <w:rPr>
          <w:rFonts w:cstheme="minorHAnsi"/>
          <w:noProof/>
          <w:color w:val="000000" w:themeColor="text1"/>
        </w:rPr>
        <w:t>1905 (1924)</w:t>
      </w:r>
      <w:r w:rsidRPr="00EA6985">
        <w:rPr>
          <w:rFonts w:cstheme="minorHAnsi"/>
          <w:noProof/>
          <w:color w:val="000000" w:themeColor="text1"/>
        </w:rPr>
        <w:t xml:space="preserve">, 132). Tokens have to be easily recognizable </w:t>
      </w:r>
      <w:r w:rsidRPr="00EA6985">
        <w:rPr>
          <w:rFonts w:cstheme="minorHAnsi"/>
          <w:iCs/>
          <w:noProof/>
          <w:color w:val="000000" w:themeColor="text1"/>
        </w:rPr>
        <w:t xml:space="preserve">by </w:t>
      </w:r>
      <w:r w:rsidRPr="00EA6985">
        <w:rPr>
          <w:rFonts w:cstheme="minorHAnsi"/>
          <w:noProof/>
          <w:color w:val="000000" w:themeColor="text1"/>
        </w:rPr>
        <w:t>specific characteristics</w:t>
      </w:r>
      <w:r w:rsidR="00D50116" w:rsidRPr="00EA6985">
        <w:rPr>
          <w:rFonts w:cstheme="minorHAnsi"/>
          <w:noProof/>
          <w:color w:val="000000" w:themeColor="text1"/>
        </w:rPr>
        <w:t xml:space="preserve"> that are</w:t>
      </w:r>
      <w:r w:rsidRPr="00EA6985">
        <w:rPr>
          <w:rFonts w:cstheme="minorHAnsi"/>
          <w:noProof/>
          <w:color w:val="000000" w:themeColor="text1"/>
        </w:rPr>
        <w:t xml:space="preserve"> defined by law, and “legal ordinance gives a use independent of [their] material” (</w:t>
      </w:r>
      <w:r w:rsidRPr="00EA6985">
        <w:rPr>
          <w:rFonts w:cstheme="minorHAnsi"/>
          <w:i/>
          <w:iCs/>
          <w:noProof/>
          <w:color w:val="000000" w:themeColor="text1"/>
        </w:rPr>
        <w:t>ibid.</w:t>
      </w:r>
      <w:r w:rsidRPr="00EA6985">
        <w:rPr>
          <w:rFonts w:cstheme="minorHAnsi"/>
          <w:noProof/>
          <w:color w:val="000000" w:themeColor="text1"/>
        </w:rPr>
        <w:t>, 32). Thus, “money is a creature of law” (</w:t>
      </w:r>
      <w:r w:rsidRPr="00EA6985">
        <w:rPr>
          <w:rFonts w:cstheme="minorHAnsi"/>
          <w:i/>
          <w:iCs/>
          <w:noProof/>
          <w:color w:val="000000" w:themeColor="text1"/>
        </w:rPr>
        <w:t>ibid.</w:t>
      </w:r>
      <w:r w:rsidRPr="00EA6985">
        <w:rPr>
          <w:rFonts w:cstheme="minorHAnsi"/>
          <w:noProof/>
          <w:color w:val="000000" w:themeColor="text1"/>
        </w:rPr>
        <w:t>, 1), and, because the governing authority is “guardian of the law” (</w:t>
      </w:r>
      <w:r w:rsidRPr="00EA6985">
        <w:rPr>
          <w:rFonts w:cstheme="minorHAnsi"/>
          <w:i/>
          <w:iCs/>
          <w:noProof/>
          <w:color w:val="000000" w:themeColor="text1"/>
        </w:rPr>
        <w:t>ibid.,</w:t>
      </w:r>
      <w:r w:rsidRPr="00EA6985">
        <w:rPr>
          <w:rFonts w:cstheme="minorHAnsi"/>
          <w:noProof/>
          <w:color w:val="000000" w:themeColor="text1"/>
        </w:rPr>
        <w:t xml:space="preserve"> 39), monetary systems are a creature of the governing authority (modern states or otherwise). </w:t>
      </w:r>
    </w:p>
    <w:p w14:paraId="25C6D71E" w14:textId="77777777" w:rsidR="00017956" w:rsidRPr="00EA6985" w:rsidRDefault="00017956" w:rsidP="00017956">
      <w:pPr>
        <w:spacing w:before="60" w:after="60"/>
        <w:ind w:firstLine="360"/>
        <w:rPr>
          <w:rFonts w:cstheme="minorHAnsi"/>
          <w:noProof/>
          <w:color w:val="000000" w:themeColor="text1"/>
        </w:rPr>
      </w:pPr>
      <w:r w:rsidRPr="00EA6985">
        <w:rPr>
          <w:rFonts w:cstheme="minorHAnsi"/>
          <w:noProof/>
          <w:color w:val="000000" w:themeColor="text1"/>
        </w:rPr>
        <w:t xml:space="preserve">The adjective “chartal” is used to point that, contrary to the metalist view, the acceptance of monetary instruments does not rest </w:t>
      </w:r>
      <w:r w:rsidR="009220FD" w:rsidRPr="00EA6985">
        <w:rPr>
          <w:rFonts w:cstheme="minorHAnsi"/>
          <w:noProof/>
          <w:color w:val="000000" w:themeColor="text1"/>
        </w:rPr>
        <w:t xml:space="preserve">primarily </w:t>
      </w:r>
      <w:r w:rsidRPr="00EA6985">
        <w:rPr>
          <w:rFonts w:cstheme="minorHAnsi"/>
          <w:noProof/>
          <w:color w:val="000000" w:themeColor="text1"/>
        </w:rPr>
        <w:t xml:space="preserve">on the material used to make </w:t>
      </w:r>
      <w:r w:rsidR="002E0EE8" w:rsidRPr="00EA6985">
        <w:rPr>
          <w:rFonts w:cstheme="minorHAnsi"/>
          <w:noProof/>
          <w:color w:val="000000" w:themeColor="text1"/>
        </w:rPr>
        <w:t xml:space="preserve">them but on their </w:t>
      </w:r>
      <w:r w:rsidRPr="00EA6985">
        <w:rPr>
          <w:rFonts w:cstheme="minorHAnsi"/>
          <w:noProof/>
          <w:color w:val="000000" w:themeColor="text1"/>
        </w:rPr>
        <w:t xml:space="preserve">expected redemption (REDEMPTION ENTRY). A good part of that is done by </w:t>
      </w:r>
      <w:r w:rsidR="00D50116" w:rsidRPr="00EA6985">
        <w:rPr>
          <w:rFonts w:cstheme="minorHAnsi"/>
          <w:noProof/>
          <w:color w:val="000000" w:themeColor="text1"/>
        </w:rPr>
        <w:t>means used by</w:t>
      </w:r>
      <w:r w:rsidRPr="00EA6985">
        <w:rPr>
          <w:rFonts w:cstheme="minorHAnsi"/>
          <w:noProof/>
          <w:color w:val="000000" w:themeColor="text1"/>
        </w:rPr>
        <w:t xml:space="preserve"> the issuer </w:t>
      </w:r>
      <w:r w:rsidR="00D50116" w:rsidRPr="00EA6985">
        <w:rPr>
          <w:rFonts w:cstheme="minorHAnsi"/>
          <w:noProof/>
          <w:color w:val="000000" w:themeColor="text1"/>
        </w:rPr>
        <w:t>to make</w:t>
      </w:r>
      <w:r w:rsidRPr="00EA6985">
        <w:rPr>
          <w:rFonts w:cstheme="minorHAnsi"/>
          <w:noProof/>
          <w:color w:val="000000" w:themeColor="text1"/>
        </w:rPr>
        <w:t xml:space="preserve"> others</w:t>
      </w:r>
      <w:r w:rsidR="00D50116" w:rsidRPr="00EA6985">
        <w:rPr>
          <w:rFonts w:cstheme="minorHAnsi"/>
          <w:noProof/>
          <w:color w:val="000000" w:themeColor="text1"/>
        </w:rPr>
        <w:t xml:space="preserve"> its debtors—</w:t>
      </w:r>
      <w:r w:rsidRPr="00EA6985">
        <w:rPr>
          <w:rFonts w:cstheme="minorHAnsi"/>
          <w:noProof/>
          <w:color w:val="000000" w:themeColor="text1"/>
        </w:rPr>
        <w:t>volunt</w:t>
      </w:r>
      <w:r w:rsidR="00D50116" w:rsidRPr="00EA6985">
        <w:rPr>
          <w:rFonts w:cstheme="minorHAnsi"/>
          <w:noProof/>
          <w:color w:val="000000" w:themeColor="text1"/>
        </w:rPr>
        <w:t>arily or forcefully—</w:t>
      </w:r>
      <w:r w:rsidRPr="00EA6985">
        <w:rPr>
          <w:rFonts w:cstheme="minorHAnsi"/>
          <w:noProof/>
          <w:color w:val="000000" w:themeColor="text1"/>
        </w:rPr>
        <w:t>and by accepting its monetary instruments in payments of owed dues. Thus:</w:t>
      </w:r>
    </w:p>
    <w:p w14:paraId="58375D2F" w14:textId="77777777" w:rsidR="00017956" w:rsidRPr="00EA6985" w:rsidRDefault="00017956" w:rsidP="00017956">
      <w:pPr>
        <w:pStyle w:val="Quote"/>
        <w:rPr>
          <w:rFonts w:cstheme="minorHAnsi"/>
          <w:noProof/>
          <w:color w:val="000000" w:themeColor="text1"/>
        </w:rPr>
      </w:pPr>
      <w:r w:rsidRPr="00EA6985">
        <w:rPr>
          <w:rFonts w:cstheme="minorHAnsi"/>
          <w:noProof/>
          <w:color w:val="000000" w:themeColor="text1"/>
        </w:rPr>
        <w:t>All coins [are] tokens and […] the weight or composition [is] not regarded as a matter of importance. What [is] important is the name or distinguishing mark of the issuer. (Innes 1913, 382)</w:t>
      </w:r>
    </w:p>
    <w:p w14:paraId="5EFEB242" w14:textId="6494E41F" w:rsidR="002E0EE8" w:rsidRPr="00EA6985" w:rsidRDefault="00024DD7" w:rsidP="002E0EE8">
      <w:pPr>
        <w:spacing w:before="120" w:after="120" w:line="240" w:lineRule="auto"/>
        <w:ind w:firstLine="360"/>
        <w:rPr>
          <w:rFonts w:cstheme="minorHAnsi"/>
          <w:noProof/>
          <w:color w:val="000000" w:themeColor="text1"/>
        </w:rPr>
      </w:pPr>
      <w:r>
        <w:rPr>
          <w:rFonts w:cstheme="minorHAnsi"/>
          <w:color w:val="000000" w:themeColor="text1"/>
        </w:rPr>
        <w:t xml:space="preserve">As such, the often-made distinction </w:t>
      </w:r>
      <w:r w:rsidR="002368BF">
        <w:rPr>
          <w:rFonts w:cstheme="minorHAnsi"/>
          <w:color w:val="000000" w:themeColor="text1"/>
        </w:rPr>
        <w:t>among</w:t>
      </w:r>
      <w:r>
        <w:rPr>
          <w:rFonts w:cstheme="minorHAnsi"/>
          <w:color w:val="000000" w:themeColor="text1"/>
        </w:rPr>
        <w:t xml:space="preserve"> “fiat money”, “credit money” and “commodity money” create</w:t>
      </w:r>
      <w:r w:rsidR="007C55F5">
        <w:rPr>
          <w:rFonts w:cstheme="minorHAnsi"/>
          <w:color w:val="000000" w:themeColor="text1"/>
        </w:rPr>
        <w:t>s</w:t>
      </w:r>
      <w:r>
        <w:rPr>
          <w:rFonts w:cstheme="minorHAnsi"/>
          <w:color w:val="000000" w:themeColor="text1"/>
        </w:rPr>
        <w:t xml:space="preserve"> a sharp distinction that obscure</w:t>
      </w:r>
      <w:r w:rsidR="007C55F5">
        <w:rPr>
          <w:rFonts w:cstheme="minorHAnsi"/>
          <w:color w:val="000000" w:themeColor="text1"/>
        </w:rPr>
        <w:t>s</w:t>
      </w:r>
      <w:r>
        <w:rPr>
          <w:rFonts w:cstheme="minorHAnsi"/>
          <w:color w:val="000000" w:themeColor="text1"/>
        </w:rPr>
        <w:t xml:space="preserve"> the strong commonality among all monetary instrument</w:t>
      </w:r>
      <w:r w:rsidR="007C55F5">
        <w:rPr>
          <w:rFonts w:cstheme="minorHAnsi"/>
          <w:color w:val="000000" w:themeColor="text1"/>
        </w:rPr>
        <w:t>s</w:t>
      </w:r>
      <w:r>
        <w:rPr>
          <w:rFonts w:cstheme="minorHAnsi"/>
          <w:color w:val="000000" w:themeColor="text1"/>
        </w:rPr>
        <w:t xml:space="preserve"> regardless of how they are made, regardless of the entity that issues them and regardless of the means used to issue them. </w:t>
      </w:r>
      <w:r w:rsidR="00017956" w:rsidRPr="00EA6985">
        <w:rPr>
          <w:rFonts w:cstheme="minorHAnsi"/>
          <w:noProof/>
          <w:color w:val="000000" w:themeColor="text1"/>
        </w:rPr>
        <w:t xml:space="preserve">All monetary instruments are financial instruments and so </w:t>
      </w:r>
      <w:r w:rsidR="002368BF">
        <w:rPr>
          <w:rFonts w:cstheme="minorHAnsi"/>
          <w:noProof/>
          <w:color w:val="000000" w:themeColor="text1"/>
        </w:rPr>
        <w:t xml:space="preserve">the </w:t>
      </w:r>
      <w:r w:rsidR="00FC335B">
        <w:rPr>
          <w:rFonts w:cstheme="minorHAnsi"/>
          <w:noProof/>
          <w:color w:val="000000" w:themeColor="text1"/>
        </w:rPr>
        <w:t>default</w:t>
      </w:r>
      <w:r w:rsidR="005F010B">
        <w:rPr>
          <w:rFonts w:cstheme="minorHAnsi"/>
          <w:noProof/>
          <w:color w:val="000000" w:themeColor="text1"/>
        </w:rPr>
        <w:t xml:space="preserve"> valuation</w:t>
      </w:r>
      <w:r w:rsidR="00FC335B">
        <w:rPr>
          <w:rFonts w:cstheme="minorHAnsi"/>
          <w:noProof/>
          <w:color w:val="000000" w:themeColor="text1"/>
        </w:rPr>
        <w:t xml:space="preserve"> </w:t>
      </w:r>
      <w:r w:rsidR="00DB624D">
        <w:rPr>
          <w:rFonts w:cstheme="minorHAnsi"/>
          <w:noProof/>
          <w:color w:val="000000" w:themeColor="text1"/>
        </w:rPr>
        <w:t xml:space="preserve">method </w:t>
      </w:r>
      <w:r w:rsidR="002368BF">
        <w:rPr>
          <w:rFonts w:cstheme="minorHAnsi"/>
          <w:noProof/>
          <w:color w:val="000000" w:themeColor="text1"/>
        </w:rPr>
        <w:t xml:space="preserve">of </w:t>
      </w:r>
      <w:r w:rsidR="00CA26C1">
        <w:rPr>
          <w:rFonts w:cstheme="minorHAnsi"/>
          <w:noProof/>
          <w:color w:val="000000" w:themeColor="text1"/>
        </w:rPr>
        <w:t>monetary instruments</w:t>
      </w:r>
      <w:r w:rsidR="00017956" w:rsidRPr="00EA6985">
        <w:rPr>
          <w:rFonts w:cstheme="minorHAnsi"/>
          <w:noProof/>
          <w:color w:val="000000" w:themeColor="text1"/>
        </w:rPr>
        <w:t xml:space="preserve"> </w:t>
      </w:r>
      <w:r w:rsidR="00DB624D">
        <w:rPr>
          <w:rFonts w:cstheme="minorHAnsi"/>
          <w:noProof/>
          <w:color w:val="000000" w:themeColor="text1"/>
        </w:rPr>
        <w:t>involves</w:t>
      </w:r>
      <w:r w:rsidR="00017956" w:rsidRPr="00EA6985">
        <w:rPr>
          <w:rFonts w:cstheme="minorHAnsi"/>
          <w:noProof/>
          <w:color w:val="000000" w:themeColor="text1"/>
        </w:rPr>
        <w:t xml:space="preserve"> a financial logic based on the creditworthiness of their issuer. Such creditworthiness is determined by the expected willingness and ability of an issuer to redeem its monetary instruments. Redemption occurs when monetary instruments are handed back to their issuer by entities who need to pay their debts to the issuer or, if possible, who want to convert the instruments into something else. The substance, if worthwhile, is a collateral available in case the issuer defaults. When </w:t>
      </w:r>
      <w:r w:rsidR="00A26EFB" w:rsidRPr="00EA6985">
        <w:rPr>
          <w:rFonts w:cstheme="minorHAnsi"/>
          <w:noProof/>
          <w:color w:val="000000" w:themeColor="text1"/>
        </w:rPr>
        <w:t>no other means to prevent fraud</w:t>
      </w:r>
      <w:r w:rsidR="00017956" w:rsidRPr="00EA6985">
        <w:rPr>
          <w:rFonts w:cstheme="minorHAnsi"/>
          <w:noProof/>
          <w:color w:val="000000" w:themeColor="text1"/>
        </w:rPr>
        <w:t xml:space="preserve"> in a monetary system </w:t>
      </w:r>
      <w:r w:rsidR="00A26EFB" w:rsidRPr="00EA6985">
        <w:rPr>
          <w:rFonts w:cstheme="minorHAnsi"/>
          <w:noProof/>
          <w:color w:val="000000" w:themeColor="text1"/>
        </w:rPr>
        <w:t>are</w:t>
      </w:r>
      <w:r w:rsidR="00017956" w:rsidRPr="00EA6985">
        <w:rPr>
          <w:rFonts w:cstheme="minorHAnsi"/>
          <w:noProof/>
          <w:color w:val="000000" w:themeColor="text1"/>
        </w:rPr>
        <w:t xml:space="preserve"> available, precious metals also play a role—albeit imperfect as coins were commonly clipped, plugged</w:t>
      </w:r>
      <w:r w:rsidR="00A26EFB" w:rsidRPr="00EA6985">
        <w:rPr>
          <w:rFonts w:cstheme="minorHAnsi"/>
          <w:noProof/>
          <w:color w:val="000000" w:themeColor="text1"/>
        </w:rPr>
        <w:t>,</w:t>
      </w:r>
      <w:r w:rsidR="00017956" w:rsidRPr="00EA6985">
        <w:rPr>
          <w:rFonts w:cstheme="minorHAnsi"/>
          <w:noProof/>
          <w:color w:val="000000" w:themeColor="text1"/>
        </w:rPr>
        <w:t xml:space="preserve"> and sweated—of preserving the stability of the monetary system by making counterfeiting more difficult</w:t>
      </w:r>
      <w:r w:rsidR="000C6098">
        <w:rPr>
          <w:rFonts w:cstheme="minorHAnsi"/>
          <w:noProof/>
          <w:color w:val="000000" w:themeColor="text1"/>
        </w:rPr>
        <w:t xml:space="preserve"> (Barbon 1790, 1796)</w:t>
      </w:r>
      <w:r w:rsidR="00017956" w:rsidRPr="00EA6985">
        <w:rPr>
          <w:rFonts w:cstheme="minorHAnsi"/>
          <w:noProof/>
          <w:color w:val="000000" w:themeColor="text1"/>
        </w:rPr>
        <w:t xml:space="preserve">. </w:t>
      </w:r>
    </w:p>
    <w:p w14:paraId="6C09742D" w14:textId="24FBC910" w:rsidR="002E0EE8" w:rsidRPr="00EA6985" w:rsidRDefault="004C084A" w:rsidP="002E0EE8">
      <w:pPr>
        <w:spacing w:before="120" w:after="120" w:line="240" w:lineRule="auto"/>
        <w:ind w:firstLine="360"/>
        <w:rPr>
          <w:rFonts w:cstheme="minorHAnsi"/>
          <w:noProof/>
          <w:color w:val="000000" w:themeColor="text1"/>
        </w:rPr>
      </w:pPr>
      <w:r w:rsidRPr="00EA6985">
        <w:rPr>
          <w:rFonts w:cstheme="minorHAnsi"/>
          <w:noProof/>
          <w:color w:val="000000" w:themeColor="text1"/>
        </w:rPr>
        <w:t>M</w:t>
      </w:r>
      <w:r w:rsidR="00AA12E2" w:rsidRPr="00EA6985">
        <w:rPr>
          <w:rFonts w:cstheme="minorHAnsi"/>
          <w:noProof/>
          <w:color w:val="000000" w:themeColor="text1"/>
        </w:rPr>
        <w:t>onetary instruments may be issue</w:t>
      </w:r>
      <w:r w:rsidRPr="00EA6985">
        <w:rPr>
          <w:rFonts w:cstheme="minorHAnsi"/>
          <w:noProof/>
          <w:color w:val="000000" w:themeColor="text1"/>
        </w:rPr>
        <w:t>d</w:t>
      </w:r>
      <w:r w:rsidR="00AA12E2" w:rsidRPr="00EA6985">
        <w:rPr>
          <w:rFonts w:cstheme="minorHAnsi"/>
          <w:noProof/>
          <w:color w:val="000000" w:themeColor="text1"/>
        </w:rPr>
        <w:t xml:space="preserve"> by decree but the decree also note</w:t>
      </w:r>
      <w:r w:rsidR="00EB3AA0" w:rsidRPr="00EA6985">
        <w:rPr>
          <w:rFonts w:cstheme="minorHAnsi"/>
          <w:noProof/>
          <w:color w:val="000000" w:themeColor="text1"/>
        </w:rPr>
        <w:t>s</w:t>
      </w:r>
      <w:r w:rsidR="00AA12E2" w:rsidRPr="00EA6985">
        <w:rPr>
          <w:rFonts w:cstheme="minorHAnsi"/>
          <w:noProof/>
          <w:color w:val="000000" w:themeColor="text1"/>
        </w:rPr>
        <w:t xml:space="preserve"> that such instruments can be redeemed to government</w:t>
      </w:r>
      <w:r w:rsidR="00AD142F">
        <w:rPr>
          <w:rFonts w:cstheme="minorHAnsi"/>
          <w:noProof/>
          <w:color w:val="000000" w:themeColor="text1"/>
        </w:rPr>
        <w:t>. T</w:t>
      </w:r>
      <w:r w:rsidR="00AA12E2" w:rsidRPr="00EA6985">
        <w:rPr>
          <w:rFonts w:cstheme="minorHAnsi"/>
          <w:noProof/>
          <w:color w:val="000000" w:themeColor="text1"/>
        </w:rPr>
        <w:t>he credibility of that promise, not fiat</w:t>
      </w:r>
      <w:r w:rsidR="00AD142F">
        <w:rPr>
          <w:rFonts w:cstheme="minorHAnsi"/>
          <w:noProof/>
          <w:color w:val="000000" w:themeColor="text1"/>
        </w:rPr>
        <w:t xml:space="preserve">, </w:t>
      </w:r>
      <w:r w:rsidR="00AA12E2" w:rsidRPr="00EA6985">
        <w:rPr>
          <w:rFonts w:cstheme="minorHAnsi"/>
          <w:noProof/>
          <w:color w:val="000000" w:themeColor="text1"/>
        </w:rPr>
        <w:t>sustained the va</w:t>
      </w:r>
      <w:r w:rsidR="00AD142F">
        <w:rPr>
          <w:rFonts w:cstheme="minorHAnsi"/>
          <w:noProof/>
          <w:color w:val="000000" w:themeColor="text1"/>
        </w:rPr>
        <w:t xml:space="preserve">luation of </w:t>
      </w:r>
      <w:r w:rsidR="00AD142F">
        <w:rPr>
          <w:rFonts w:cstheme="minorHAnsi"/>
          <w:noProof/>
          <w:color w:val="000000" w:themeColor="text1"/>
        </w:rPr>
        <w:lastRenderedPageBreak/>
        <w:t xml:space="preserve">monetary instruments. </w:t>
      </w:r>
      <w:r w:rsidRPr="00EA6985">
        <w:rPr>
          <w:rFonts w:cstheme="minorHAnsi"/>
          <w:noProof/>
          <w:color w:val="000000" w:themeColor="text1"/>
        </w:rPr>
        <w:t xml:space="preserve">Similarly, as long as </w:t>
      </w:r>
      <w:r w:rsidR="00266F54" w:rsidRPr="00EA6985">
        <w:rPr>
          <w:rFonts w:cstheme="minorHAnsi"/>
          <w:noProof/>
          <w:color w:val="000000" w:themeColor="text1"/>
        </w:rPr>
        <w:t>political</w:t>
      </w:r>
      <w:r w:rsidRPr="00EA6985">
        <w:rPr>
          <w:rFonts w:cstheme="minorHAnsi"/>
          <w:noProof/>
          <w:color w:val="000000" w:themeColor="text1"/>
        </w:rPr>
        <w:t xml:space="preserve"> and financial power </w:t>
      </w:r>
      <w:r w:rsidR="00EB3AA0" w:rsidRPr="00EA6985">
        <w:rPr>
          <w:rFonts w:cstheme="minorHAnsi"/>
          <w:noProof/>
          <w:color w:val="000000" w:themeColor="text1"/>
        </w:rPr>
        <w:t>have been</w:t>
      </w:r>
      <w:r w:rsidRPr="00EA6985">
        <w:rPr>
          <w:rFonts w:cstheme="minorHAnsi"/>
          <w:noProof/>
          <w:color w:val="000000" w:themeColor="text1"/>
        </w:rPr>
        <w:t xml:space="preserve"> strong enough, monetary instruments made of precious </w:t>
      </w:r>
      <w:r w:rsidR="00266F54" w:rsidRPr="00EA6985">
        <w:rPr>
          <w:rFonts w:cstheme="minorHAnsi"/>
          <w:noProof/>
          <w:color w:val="000000" w:themeColor="text1"/>
        </w:rPr>
        <w:t>commodity have been managed to circulate by tale instead of weight</w:t>
      </w:r>
      <w:r w:rsidR="00227420" w:rsidRPr="00EA6985">
        <w:rPr>
          <w:rFonts w:cstheme="minorHAnsi"/>
          <w:noProof/>
          <w:color w:val="000000" w:themeColor="text1"/>
        </w:rPr>
        <w:t xml:space="preserve"> within the sphere of influence of the authority in charge of a monetary system</w:t>
      </w:r>
      <w:r w:rsidR="00266F54" w:rsidRPr="00EA6985">
        <w:rPr>
          <w:rFonts w:cstheme="minorHAnsi"/>
          <w:noProof/>
          <w:color w:val="000000" w:themeColor="text1"/>
        </w:rPr>
        <w:t xml:space="preserve">. </w:t>
      </w:r>
      <w:r w:rsidR="00266F54" w:rsidRPr="00EA6985">
        <w:rPr>
          <w:rFonts w:cstheme="minorHAnsi"/>
          <w:noProof/>
        </w:rPr>
        <w:t>Of course, this did not go necessarily smoothly as merchants and financiers had a strong economic interest in emphasizing the weight instead of the count, and as government may not have</w:t>
      </w:r>
      <w:r w:rsidR="00CE003C" w:rsidRPr="00EA6985">
        <w:rPr>
          <w:rFonts w:cstheme="minorHAnsi"/>
          <w:noProof/>
        </w:rPr>
        <w:t xml:space="preserve"> </w:t>
      </w:r>
      <w:r w:rsidR="00EB3AA0" w:rsidRPr="00EA6985">
        <w:rPr>
          <w:rFonts w:cstheme="minorHAnsi"/>
          <w:noProof/>
        </w:rPr>
        <w:t>h</w:t>
      </w:r>
      <w:r w:rsidR="00CE003C" w:rsidRPr="00EA6985">
        <w:rPr>
          <w:rFonts w:cstheme="minorHAnsi"/>
          <w:noProof/>
        </w:rPr>
        <w:t>a</w:t>
      </w:r>
      <w:r w:rsidR="00EB3AA0" w:rsidRPr="00EA6985">
        <w:rPr>
          <w:rFonts w:cstheme="minorHAnsi"/>
          <w:noProof/>
        </w:rPr>
        <w:t>d</w:t>
      </w:r>
      <w:r w:rsidR="00266F54" w:rsidRPr="00EA6985">
        <w:rPr>
          <w:rFonts w:cstheme="minorHAnsi"/>
          <w:noProof/>
        </w:rPr>
        <w:t xml:space="preserve"> the will or ability to always enforce circulation by tale (Tymoigne 2020). But the existence of redemption mechanisms is as old as the existence of modern monetary systems, even </w:t>
      </w:r>
      <w:r w:rsidR="00227420" w:rsidRPr="00EA6985">
        <w:rPr>
          <w:rFonts w:cstheme="minorHAnsi"/>
          <w:noProof/>
        </w:rPr>
        <w:t>though</w:t>
      </w:r>
      <w:r w:rsidR="00266F54" w:rsidRPr="00EA6985">
        <w:rPr>
          <w:rFonts w:cstheme="minorHAnsi"/>
          <w:noProof/>
        </w:rPr>
        <w:t xml:space="preserve"> the ability or willingness </w:t>
      </w:r>
      <w:r w:rsidR="00227420" w:rsidRPr="00EA6985">
        <w:rPr>
          <w:rFonts w:cstheme="minorHAnsi"/>
          <w:noProof/>
        </w:rPr>
        <w:t xml:space="preserve">of issuers </w:t>
      </w:r>
      <w:r w:rsidR="00266F54" w:rsidRPr="00EA6985">
        <w:rPr>
          <w:rFonts w:cstheme="minorHAnsi"/>
          <w:noProof/>
        </w:rPr>
        <w:t>to enforce redemption was not always present</w:t>
      </w:r>
      <w:r w:rsidR="00EF77A5" w:rsidRPr="00EA6985">
        <w:rPr>
          <w:rFonts w:cstheme="minorHAnsi"/>
          <w:noProof/>
        </w:rPr>
        <w:t>. In that case,</w:t>
      </w:r>
      <w:r w:rsidR="00266F54" w:rsidRPr="00EA6985">
        <w:rPr>
          <w:rFonts w:cstheme="minorHAnsi"/>
          <w:noProof/>
        </w:rPr>
        <w:t xml:space="preserve"> the valuation of monetary instruments</w:t>
      </w:r>
      <w:r w:rsidR="00EF77A5" w:rsidRPr="00EA6985">
        <w:rPr>
          <w:rFonts w:cstheme="minorHAnsi"/>
          <w:noProof/>
        </w:rPr>
        <w:t xml:space="preserve"> was negatively impact</w:t>
      </w:r>
      <w:r w:rsidR="002368BF">
        <w:rPr>
          <w:rFonts w:cstheme="minorHAnsi"/>
          <w:noProof/>
        </w:rPr>
        <w:t>ed</w:t>
      </w:r>
      <w:r w:rsidR="00227420" w:rsidRPr="00EA6985">
        <w:rPr>
          <w:rFonts w:cstheme="minorHAnsi"/>
          <w:noProof/>
        </w:rPr>
        <w:t xml:space="preserve">, sometimes to the point of making them lose all financial basis of valuation and become mere stamped bullions. </w:t>
      </w:r>
    </w:p>
    <w:p w14:paraId="41BAD942" w14:textId="77777777" w:rsidR="00017956" w:rsidRPr="00EA6985" w:rsidRDefault="00017956" w:rsidP="00017956">
      <w:pPr>
        <w:spacing w:before="120" w:after="120" w:line="240" w:lineRule="auto"/>
        <w:rPr>
          <w:rFonts w:cstheme="minorHAnsi"/>
          <w:b/>
          <w:noProof/>
          <w:color w:val="000000" w:themeColor="text1"/>
        </w:rPr>
      </w:pPr>
      <w:r w:rsidRPr="00EA6985">
        <w:rPr>
          <w:rFonts w:cstheme="minorHAnsi"/>
          <w:b/>
          <w:noProof/>
          <w:color w:val="000000" w:themeColor="text1"/>
        </w:rPr>
        <w:t>Endogenous Money, Liquidity Preference</w:t>
      </w:r>
      <w:r w:rsidR="00F11619" w:rsidRPr="00EA6985">
        <w:rPr>
          <w:rFonts w:cstheme="minorHAnsi"/>
          <w:b/>
          <w:noProof/>
          <w:color w:val="000000" w:themeColor="text1"/>
        </w:rPr>
        <w:t>,</w:t>
      </w:r>
      <w:r w:rsidRPr="00EA6985">
        <w:rPr>
          <w:rFonts w:cstheme="minorHAnsi"/>
          <w:b/>
          <w:noProof/>
          <w:color w:val="000000" w:themeColor="text1"/>
        </w:rPr>
        <w:t xml:space="preserve"> and the State</w:t>
      </w:r>
    </w:p>
    <w:p w14:paraId="382D9D02" w14:textId="77777777" w:rsidR="00017956" w:rsidRPr="00EA6985" w:rsidRDefault="00017956" w:rsidP="00017956">
      <w:pPr>
        <w:spacing w:before="120" w:after="120" w:line="240" w:lineRule="auto"/>
        <w:ind w:firstLine="360"/>
        <w:rPr>
          <w:rFonts w:cstheme="minorHAnsi"/>
          <w:noProof/>
          <w:color w:val="000000" w:themeColor="text1"/>
        </w:rPr>
      </w:pPr>
      <w:r w:rsidRPr="00EA6985">
        <w:rPr>
          <w:rFonts w:cstheme="minorHAnsi"/>
          <w:noProof/>
          <w:color w:val="000000" w:themeColor="text1"/>
        </w:rPr>
        <w:t xml:space="preserve">Besides monetary history and the cause of acceptance of monetary instruments, MMT also focuses on the mechanics of monetary creation; once again, the state is integrated immediately in the explanation rather than as an afterthought. MMT integrates the fiscal side of the monetary system into the endogenous money framework and concludes that the money supply is not a disruptive force but rather moves according to the needs of the economic system (Wray 1998; Mitchell and Muysken 2008; Tymoigne 2016; Parguez 2002; Bougrine and Seccarecia 2002). </w:t>
      </w:r>
    </w:p>
    <w:p w14:paraId="48ED1C02" w14:textId="77777777" w:rsidR="00017956" w:rsidRPr="00EA6985" w:rsidRDefault="00017956" w:rsidP="00017956">
      <w:pPr>
        <w:spacing w:before="120" w:after="120" w:line="240" w:lineRule="auto"/>
        <w:ind w:firstLine="360"/>
        <w:rPr>
          <w:rFonts w:cstheme="minorHAnsi"/>
          <w:noProof/>
          <w:color w:val="000000" w:themeColor="text1"/>
        </w:rPr>
      </w:pPr>
      <w:r w:rsidRPr="00EA6985">
        <w:rPr>
          <w:rFonts w:cstheme="minorHAnsi"/>
          <w:noProof/>
          <w:color w:val="000000" w:themeColor="text1"/>
        </w:rPr>
        <w:t>There is an exogenous/vertical component to the supply of reserves that considerably enriches our understanding of government financial operations and monetary systems. This vertical supply does not come from monetary-policy operations—contrary to what Monetarists argued—but from fiscal operations. Two government entities—</w:t>
      </w:r>
      <w:r w:rsidR="001C23DB" w:rsidRPr="00EA6985">
        <w:rPr>
          <w:rFonts w:cstheme="minorHAnsi"/>
          <w:noProof/>
          <w:color w:val="000000" w:themeColor="text1"/>
        </w:rPr>
        <w:t xml:space="preserve">the </w:t>
      </w:r>
      <w:r w:rsidRPr="00EA6985">
        <w:rPr>
          <w:rFonts w:cstheme="minorHAnsi"/>
          <w:noProof/>
          <w:color w:val="000000" w:themeColor="text1"/>
        </w:rPr>
        <w:t xml:space="preserve">central bank and </w:t>
      </w:r>
      <w:r w:rsidR="001C23DB" w:rsidRPr="00EA6985">
        <w:rPr>
          <w:rFonts w:cstheme="minorHAnsi"/>
          <w:noProof/>
          <w:color w:val="000000" w:themeColor="text1"/>
        </w:rPr>
        <w:t xml:space="preserve">the </w:t>
      </w:r>
      <w:r w:rsidRPr="00EA6985">
        <w:rPr>
          <w:rFonts w:cstheme="minorHAnsi"/>
          <w:noProof/>
          <w:color w:val="000000" w:themeColor="text1"/>
        </w:rPr>
        <w:t xml:space="preserve">Treasury—are involved in the issuance and redemption of government monetary instruments, </w:t>
      </w:r>
      <w:r w:rsidR="007363BC" w:rsidRPr="00EA6985">
        <w:rPr>
          <w:rFonts w:cstheme="minorHAnsi"/>
          <w:noProof/>
          <w:color w:val="000000" w:themeColor="text1"/>
        </w:rPr>
        <w:t>creating</w:t>
      </w:r>
      <w:r w:rsidRPr="00EA6985">
        <w:rPr>
          <w:rFonts w:cstheme="minorHAnsi"/>
          <w:noProof/>
          <w:color w:val="000000" w:themeColor="text1"/>
        </w:rPr>
        <w:t xml:space="preserve"> complex interactions between these entities. One can no longer assume that monetary policy is the strict domain of the central bank, and fiscal policy is the strict domain of the Treasury. The interrelations are extremely rich and help broaden our understanding of the monetary mechanics at play in a system in which a government is, or is not, monetarily sovereign</w:t>
      </w:r>
      <w:r w:rsidR="00CE003C" w:rsidRPr="00EA6985">
        <w:rPr>
          <w:rFonts w:cstheme="minorHAnsi"/>
          <w:noProof/>
          <w:color w:val="000000" w:themeColor="text1"/>
        </w:rPr>
        <w:t xml:space="preserve"> (Bell and Nell 2003; Wray 2003</w:t>
      </w:r>
      <w:r w:rsidRPr="00EA6985">
        <w:rPr>
          <w:rFonts w:cstheme="minorHAnsi"/>
          <w:noProof/>
          <w:color w:val="000000" w:themeColor="text1"/>
        </w:rPr>
        <w:t xml:space="preserve">). </w:t>
      </w:r>
    </w:p>
    <w:p w14:paraId="4B58611A" w14:textId="77777777" w:rsidR="00017956" w:rsidRPr="00EA6985" w:rsidRDefault="00017956" w:rsidP="00017956">
      <w:pPr>
        <w:spacing w:before="120" w:after="120" w:line="240" w:lineRule="auto"/>
        <w:ind w:firstLine="360"/>
        <w:rPr>
          <w:rFonts w:cstheme="minorHAnsi"/>
          <w:noProof/>
          <w:color w:val="000000" w:themeColor="text1"/>
        </w:rPr>
      </w:pPr>
      <w:r w:rsidRPr="00EA6985">
        <w:rPr>
          <w:rFonts w:cstheme="minorHAnsi"/>
          <w:noProof/>
          <w:color w:val="000000" w:themeColor="text1"/>
        </w:rPr>
        <w:t xml:space="preserve">Finally, MMT also does not ignore the role of liquidity preference. Wray (1990) was among the first to integrate the liquidity preference and endogenous money theories. Post Keynesians have long emphasized that the future is uncertain. As economies became monetized through the process presented above, that uncertainty expressed itself in monetary forms through liquidity and solvency risks. This generates a willingness to hoard liquid assets, which contributes to the persistence of fiscal deficits when </w:t>
      </w:r>
      <w:r w:rsidR="00CE003C" w:rsidRPr="00EA6985">
        <w:rPr>
          <w:rFonts w:cstheme="minorHAnsi"/>
          <w:noProof/>
          <w:color w:val="000000" w:themeColor="text1"/>
        </w:rPr>
        <w:t xml:space="preserve">the </w:t>
      </w:r>
      <w:r w:rsidRPr="00EA6985">
        <w:rPr>
          <w:rFonts w:cstheme="minorHAnsi"/>
          <w:noProof/>
          <w:color w:val="000000" w:themeColor="text1"/>
        </w:rPr>
        <w:t>government is a major source of such assets and the government allows its finances to accommodate the needs of the economy. Monetary instruments—</w:t>
      </w:r>
      <w:r w:rsidR="007363BC" w:rsidRPr="00EA6985">
        <w:rPr>
          <w:rFonts w:cstheme="minorHAnsi"/>
          <w:noProof/>
          <w:color w:val="000000" w:themeColor="text1"/>
        </w:rPr>
        <w:t xml:space="preserve">i.e., </w:t>
      </w:r>
      <w:r w:rsidRPr="00EA6985">
        <w:rPr>
          <w:rFonts w:cstheme="minorHAnsi"/>
          <w:noProof/>
          <w:color w:val="000000" w:themeColor="text1"/>
        </w:rPr>
        <w:t xml:space="preserve">financial instruments with a zero elasticity of production, a zero-elasticity of substitution and a high liquidity premium relative to carrying cost—are the most liquid financial assets, which makes them an ideal means </w:t>
      </w:r>
      <w:r w:rsidR="007363BC" w:rsidRPr="00EA6985">
        <w:rPr>
          <w:rFonts w:cstheme="minorHAnsi"/>
          <w:noProof/>
          <w:color w:val="000000" w:themeColor="text1"/>
        </w:rPr>
        <w:t>of coping</w:t>
      </w:r>
      <w:r w:rsidRPr="00EA6985">
        <w:rPr>
          <w:rFonts w:cstheme="minorHAnsi"/>
          <w:noProof/>
          <w:color w:val="000000" w:themeColor="text1"/>
        </w:rPr>
        <w:t xml:space="preserve"> with uncertainty as long as the monetary system is stable (Keynes 1936). </w:t>
      </w:r>
    </w:p>
    <w:p w14:paraId="1891FD43" w14:textId="77777777" w:rsidR="00017956" w:rsidRPr="00EA6985" w:rsidRDefault="00017956" w:rsidP="00017956">
      <w:pPr>
        <w:spacing w:before="120" w:after="120" w:line="240" w:lineRule="auto"/>
        <w:ind w:firstLine="360"/>
        <w:rPr>
          <w:rFonts w:cstheme="minorHAnsi"/>
          <w:noProof/>
          <w:color w:val="000000" w:themeColor="text1"/>
        </w:rPr>
      </w:pPr>
      <w:r w:rsidRPr="00EA6985">
        <w:rPr>
          <w:rFonts w:cstheme="minorHAnsi"/>
          <w:noProof/>
          <w:color w:val="000000" w:themeColor="text1"/>
        </w:rPr>
        <w:t xml:space="preserve">MMT uses a financial approach to monetary analysis to show that the absolute liquidity, that is the perfectly stable nominal value, of monetary instruments must be created and managed. The governing authority plays a crucial role in ensuring that this liquidity is preserved through a nominalist management of tax-driven systems. Once one understands how liquidity is created, managed and lost in a monetary system, one can proceed </w:t>
      </w:r>
      <w:r w:rsidR="007363BC" w:rsidRPr="00EA6985">
        <w:rPr>
          <w:rFonts w:cstheme="minorHAnsi"/>
          <w:noProof/>
          <w:color w:val="000000" w:themeColor="text1"/>
        </w:rPr>
        <w:t>studying</w:t>
      </w:r>
      <w:r w:rsidRPr="00EA6985">
        <w:rPr>
          <w:rFonts w:cstheme="minorHAnsi"/>
          <w:noProof/>
          <w:color w:val="000000" w:themeColor="text1"/>
        </w:rPr>
        <w:t xml:space="preserve"> the im</w:t>
      </w:r>
      <w:r w:rsidR="007363BC" w:rsidRPr="00EA6985">
        <w:rPr>
          <w:rFonts w:cstheme="minorHAnsi"/>
          <w:noProof/>
          <w:color w:val="000000" w:themeColor="text1"/>
        </w:rPr>
        <w:t>pact of the demand for liquid</w:t>
      </w:r>
      <w:r w:rsidRPr="00EA6985">
        <w:rPr>
          <w:rFonts w:cstheme="minorHAnsi"/>
          <w:noProof/>
          <w:color w:val="000000" w:themeColor="text1"/>
        </w:rPr>
        <w:t xml:space="preserve"> assets on interest rates. MMT notes, in accordance with the horizontatlist view, that nominal interest rates are overwhelmingly determined by current and expected monetary policy decisions (</w:t>
      </w:r>
      <w:r w:rsidR="00CE003C" w:rsidRPr="00EA6985">
        <w:rPr>
          <w:rFonts w:cstheme="minorHAnsi"/>
          <w:noProof/>
          <w:color w:val="000000" w:themeColor="text1"/>
        </w:rPr>
        <w:t xml:space="preserve">Moore 1988; </w:t>
      </w:r>
      <w:r w:rsidRPr="00EA6985">
        <w:rPr>
          <w:rFonts w:cstheme="minorHAnsi"/>
          <w:noProof/>
          <w:color w:val="000000" w:themeColor="text1"/>
        </w:rPr>
        <w:t xml:space="preserve">Lavoie 2006, 2010; Fullwiler 2006, 2013). The liquidity premium influences long-term interest rates and so influences interest rate spreads (Lavoie 1996). MMT adds that the Treasury plays a major in monetary-policy implementation. </w:t>
      </w:r>
    </w:p>
    <w:p w14:paraId="33ADAC83" w14:textId="77777777" w:rsidR="00934A94" w:rsidRPr="00EA6985" w:rsidRDefault="00C4206A" w:rsidP="00934A94">
      <w:pPr>
        <w:spacing w:before="120" w:after="120" w:line="240" w:lineRule="auto"/>
        <w:rPr>
          <w:rFonts w:cstheme="minorHAnsi"/>
          <w:b/>
          <w:noProof/>
          <w:color w:val="000000" w:themeColor="text1"/>
        </w:rPr>
      </w:pPr>
      <w:r w:rsidRPr="00EA6985">
        <w:rPr>
          <w:rFonts w:cstheme="minorHAnsi"/>
          <w:b/>
          <w:noProof/>
          <w:color w:val="000000" w:themeColor="text1"/>
        </w:rPr>
        <w:lastRenderedPageBreak/>
        <w:t>Monetary systems</w:t>
      </w:r>
      <w:r w:rsidR="000C7E5F" w:rsidRPr="00EA6985">
        <w:rPr>
          <w:rFonts w:cstheme="minorHAnsi"/>
          <w:b/>
          <w:noProof/>
          <w:color w:val="000000" w:themeColor="text1"/>
        </w:rPr>
        <w:t>,</w:t>
      </w:r>
      <w:r w:rsidRPr="00EA6985">
        <w:rPr>
          <w:rFonts w:cstheme="minorHAnsi"/>
          <w:b/>
          <w:noProof/>
          <w:color w:val="000000" w:themeColor="text1"/>
        </w:rPr>
        <w:t xml:space="preserve"> </w:t>
      </w:r>
      <w:r w:rsidR="000C7E5F" w:rsidRPr="00EA6985">
        <w:rPr>
          <w:rFonts w:cstheme="minorHAnsi"/>
          <w:b/>
          <w:noProof/>
          <w:color w:val="000000" w:themeColor="text1"/>
        </w:rPr>
        <w:t xml:space="preserve">economic growth </w:t>
      </w:r>
      <w:r w:rsidRPr="00EA6985">
        <w:rPr>
          <w:rFonts w:cstheme="minorHAnsi"/>
          <w:b/>
          <w:noProof/>
          <w:color w:val="000000" w:themeColor="text1"/>
        </w:rPr>
        <w:t>and price stability</w:t>
      </w:r>
    </w:p>
    <w:p w14:paraId="28BFE7C5" w14:textId="73FD63C6" w:rsidR="00021587" w:rsidRPr="00EA6985" w:rsidRDefault="009A19D6" w:rsidP="00021587">
      <w:pPr>
        <w:spacing w:before="120" w:after="120" w:line="240" w:lineRule="auto"/>
        <w:ind w:firstLine="360"/>
        <w:rPr>
          <w:rFonts w:cstheme="minorHAnsi"/>
          <w:noProof/>
          <w:color w:val="000000" w:themeColor="text1"/>
        </w:rPr>
      </w:pPr>
      <w:r w:rsidRPr="00EA6985">
        <w:rPr>
          <w:rFonts w:cstheme="minorHAnsi"/>
          <w:noProof/>
          <w:color w:val="000000" w:themeColor="text1"/>
        </w:rPr>
        <w:t xml:space="preserve">Given that MMT accepts the endogenous money theory and the effective demand theory of economic growth, </w:t>
      </w:r>
      <w:r w:rsidR="007C390F" w:rsidRPr="00EA6985">
        <w:rPr>
          <w:rFonts w:cstheme="minorHAnsi"/>
          <w:noProof/>
          <w:color w:val="000000" w:themeColor="text1"/>
        </w:rPr>
        <w:t xml:space="preserve">it rejects </w:t>
      </w:r>
      <w:r w:rsidR="009764F0" w:rsidRPr="00EA6985">
        <w:rPr>
          <w:rFonts w:cstheme="minorHAnsi"/>
          <w:noProof/>
          <w:color w:val="000000" w:themeColor="text1"/>
        </w:rPr>
        <w:t xml:space="preserve">the quantity theory of money and </w:t>
      </w:r>
      <w:r w:rsidR="007C390F" w:rsidRPr="00EA6985">
        <w:rPr>
          <w:rFonts w:cstheme="minorHAnsi"/>
          <w:noProof/>
          <w:color w:val="000000" w:themeColor="text1"/>
        </w:rPr>
        <w:t xml:space="preserve">any direct relation between price stability and monetary creation. The money supply accommodates the needs of the economic system and the productive system is usually elastic enough to respond to an increase in aggregate demand. While there is a correlation between the growth of the money supply and the growth of prices, the causality usually run from price growth to money growth </w:t>
      </w:r>
      <w:r w:rsidR="00732835" w:rsidRPr="00EA6985">
        <w:rPr>
          <w:rFonts w:cstheme="minorHAnsi"/>
          <w:noProof/>
          <w:color w:val="000000" w:themeColor="text1"/>
        </w:rPr>
        <w:t xml:space="preserve">as economic agents request more funds </w:t>
      </w:r>
      <w:r w:rsidR="007C390F" w:rsidRPr="00EA6985">
        <w:rPr>
          <w:rFonts w:cstheme="minorHAnsi"/>
          <w:noProof/>
          <w:color w:val="000000" w:themeColor="text1"/>
        </w:rPr>
        <w:t xml:space="preserve">to buy goods and services that are becoming more expensive. </w:t>
      </w:r>
      <w:r w:rsidR="0084179E">
        <w:rPr>
          <w:rFonts w:cstheme="minorHAnsi"/>
          <w:noProof/>
          <w:color w:val="000000" w:themeColor="text1"/>
        </w:rPr>
        <w:t xml:space="preserve">As such, the money supply will grow as the economy grows, both nominally and in real terms. </w:t>
      </w:r>
      <w:r w:rsidR="00EC0A62" w:rsidRPr="00EA6985">
        <w:rPr>
          <w:rFonts w:cstheme="minorHAnsi"/>
          <w:noProof/>
          <w:color w:val="000000" w:themeColor="text1"/>
        </w:rPr>
        <w:t xml:space="preserve">While government spending does generate an exogenous increase in the money supply, its impact on inflation is not automatic </w:t>
      </w:r>
      <w:r w:rsidR="00CE003C" w:rsidRPr="00EA6985">
        <w:rPr>
          <w:rFonts w:cstheme="minorHAnsi"/>
          <w:noProof/>
          <w:color w:val="000000" w:themeColor="text1"/>
        </w:rPr>
        <w:t>because</w:t>
      </w:r>
      <w:r w:rsidR="00EC0A62" w:rsidRPr="00EA6985">
        <w:rPr>
          <w:rFonts w:cstheme="minorHAnsi"/>
          <w:noProof/>
          <w:color w:val="000000" w:themeColor="text1"/>
        </w:rPr>
        <w:t xml:space="preserve"> it depends on the ability of the productive system to accommodate such spending; in most cases it can. </w:t>
      </w:r>
      <w:r w:rsidR="00CE4A9C" w:rsidRPr="00EA6985">
        <w:rPr>
          <w:rFonts w:cstheme="minorHAnsi"/>
          <w:noProof/>
          <w:color w:val="000000" w:themeColor="text1"/>
        </w:rPr>
        <w:t>In addition, automatic stabilizers make government spending and taxing reactive to the need</w:t>
      </w:r>
      <w:r w:rsidR="00A049BD" w:rsidRPr="00EA6985">
        <w:rPr>
          <w:rFonts w:cstheme="minorHAnsi"/>
          <w:noProof/>
          <w:color w:val="000000" w:themeColor="text1"/>
        </w:rPr>
        <w:t>s</w:t>
      </w:r>
      <w:r w:rsidR="00CE4A9C" w:rsidRPr="00EA6985">
        <w:rPr>
          <w:rFonts w:cstheme="minorHAnsi"/>
          <w:noProof/>
          <w:color w:val="000000" w:themeColor="text1"/>
        </w:rPr>
        <w:t xml:space="preserve"> of the economy. </w:t>
      </w:r>
    </w:p>
    <w:p w14:paraId="652B43A9" w14:textId="77777777" w:rsidR="00FE1531" w:rsidRPr="00EA6985" w:rsidRDefault="00A049BD" w:rsidP="00FE1531">
      <w:pPr>
        <w:spacing w:before="120" w:after="120" w:line="240" w:lineRule="auto"/>
        <w:ind w:firstLine="360"/>
        <w:rPr>
          <w:rFonts w:cstheme="minorHAnsi"/>
          <w:noProof/>
          <w:color w:val="000000" w:themeColor="text1"/>
        </w:rPr>
      </w:pPr>
      <w:r w:rsidRPr="00EA6985">
        <w:rPr>
          <w:rFonts w:cstheme="minorHAnsi"/>
          <w:noProof/>
          <w:color w:val="000000" w:themeColor="text1"/>
        </w:rPr>
        <w:t>In times of large increase</w:t>
      </w:r>
      <w:r w:rsidR="00FE1531" w:rsidRPr="00EA6985">
        <w:rPr>
          <w:rFonts w:cstheme="minorHAnsi"/>
          <w:noProof/>
          <w:color w:val="000000" w:themeColor="text1"/>
        </w:rPr>
        <w:t>s</w:t>
      </w:r>
      <w:r w:rsidRPr="00EA6985">
        <w:rPr>
          <w:rFonts w:cstheme="minorHAnsi"/>
          <w:noProof/>
          <w:color w:val="000000" w:themeColor="text1"/>
        </w:rPr>
        <w:t xml:space="preserve"> of government spending with an economy close to full employment, taxes have been one of the core element</w:t>
      </w:r>
      <w:r w:rsidR="000B15A5" w:rsidRPr="00EA6985">
        <w:rPr>
          <w:rFonts w:cstheme="minorHAnsi"/>
          <w:noProof/>
          <w:color w:val="000000" w:themeColor="text1"/>
        </w:rPr>
        <w:t>s</w:t>
      </w:r>
      <w:r w:rsidRPr="00EA6985">
        <w:rPr>
          <w:rFonts w:cstheme="minorHAnsi"/>
          <w:noProof/>
          <w:color w:val="000000" w:themeColor="text1"/>
        </w:rPr>
        <w:t xml:space="preserve"> that help maintain price stability. </w:t>
      </w:r>
      <w:r w:rsidR="000660D2" w:rsidRPr="00EA6985">
        <w:rPr>
          <w:rFonts w:cstheme="minorHAnsi"/>
          <w:noProof/>
          <w:color w:val="000000" w:themeColor="text1"/>
        </w:rPr>
        <w:t>As long as taxes have continued to be imposed and enforce</w:t>
      </w:r>
      <w:r w:rsidR="000B15A5" w:rsidRPr="00EA6985">
        <w:rPr>
          <w:rFonts w:cstheme="minorHAnsi"/>
          <w:noProof/>
          <w:color w:val="000000" w:themeColor="text1"/>
        </w:rPr>
        <w:t>d</w:t>
      </w:r>
      <w:r w:rsidR="000660D2" w:rsidRPr="00EA6985">
        <w:rPr>
          <w:rFonts w:cstheme="minorHAnsi"/>
          <w:noProof/>
          <w:color w:val="000000" w:themeColor="text1"/>
        </w:rPr>
        <w:t xml:space="preserve">, major disruptions in the economy </w:t>
      </w:r>
      <w:r w:rsidR="00E12A98" w:rsidRPr="00EA6985">
        <w:rPr>
          <w:rFonts w:cstheme="minorHAnsi"/>
          <w:noProof/>
          <w:color w:val="000000" w:themeColor="text1"/>
        </w:rPr>
        <w:t xml:space="preserve">have not been associated with high inflation or hyperinflation even when the government increased its spending. </w:t>
      </w:r>
      <w:r w:rsidR="00021587" w:rsidRPr="00EA6985">
        <w:rPr>
          <w:rFonts w:cstheme="minorHAnsi"/>
          <w:noProof/>
          <w:color w:val="000000" w:themeColor="text1"/>
        </w:rPr>
        <w:t xml:space="preserve">The experiences of belligerent countries during the Napoleonic Wars provide examples of the core role of taxes in maintaining the stability of the monetary system. England provides a successful example, even under demanding circumstances and even though convertibility into coins was suspended from 1802 to 1815, </w:t>
      </w:r>
      <w:r w:rsidR="00FE1531" w:rsidRPr="00EA6985">
        <w:rPr>
          <w:rFonts w:cstheme="minorHAnsi"/>
          <w:noProof/>
          <w:color w:val="000000" w:themeColor="text1"/>
        </w:rPr>
        <w:t xml:space="preserve">demonstrating that </w:t>
      </w:r>
      <w:r w:rsidR="00021587" w:rsidRPr="00EA6985">
        <w:rPr>
          <w:rFonts w:cstheme="minorHAnsi"/>
          <w:noProof/>
          <w:color w:val="000000" w:themeColor="text1"/>
        </w:rPr>
        <w:t>as long as the coordination with the Treasury is well managed and proper controls and accountability are in place to reliably channel resources toward the public purpo</w:t>
      </w:r>
      <w:r w:rsidR="00FE1531" w:rsidRPr="00EA6985">
        <w:rPr>
          <w:rFonts w:cstheme="minorHAnsi"/>
          <w:noProof/>
          <w:color w:val="000000" w:themeColor="text1"/>
        </w:rPr>
        <w:t xml:space="preserve">se (in the case the war effort) “a (largely) fiscally backed money was not only possible, but practicable” (Roberds and Velde in Fox and Ernst 2016, 488). </w:t>
      </w:r>
    </w:p>
    <w:p w14:paraId="47CF9518" w14:textId="4D3F0D56" w:rsidR="00021587" w:rsidRPr="00EA6985" w:rsidRDefault="00021587" w:rsidP="00FE1531">
      <w:pPr>
        <w:spacing w:before="120" w:after="120" w:line="240" w:lineRule="auto"/>
        <w:ind w:firstLine="360"/>
        <w:rPr>
          <w:rFonts w:cstheme="minorHAnsi"/>
          <w:noProof/>
          <w:color w:val="000000" w:themeColor="text1"/>
        </w:rPr>
      </w:pPr>
      <w:r w:rsidRPr="00EA6985">
        <w:rPr>
          <w:rFonts w:cstheme="minorHAnsi"/>
          <w:noProof/>
          <w:color w:val="000000" w:themeColor="text1"/>
        </w:rPr>
        <w:t>Similarly, the Prussia</w:t>
      </w:r>
      <w:r w:rsidR="00FE1531" w:rsidRPr="00EA6985">
        <w:rPr>
          <w:rFonts w:cstheme="minorHAnsi"/>
          <w:noProof/>
          <w:color w:val="000000" w:themeColor="text1"/>
        </w:rPr>
        <w:t>n</w:t>
      </w:r>
      <w:r w:rsidRPr="00EA6985">
        <w:rPr>
          <w:rFonts w:cstheme="minorHAnsi"/>
          <w:noProof/>
          <w:color w:val="000000" w:themeColor="text1"/>
        </w:rPr>
        <w:t xml:space="preserve"> Treasury was able to issue notes to finance its war effort against Napoléon but this did not lead to high inflation because several measures were taken to contain it, including taxation (</w:t>
      </w:r>
      <w:r w:rsidR="00CF33F9" w:rsidRPr="00460E6A">
        <w:rPr>
          <w:rFonts w:cstheme="minorHAnsi"/>
          <w:noProof/>
          <w:color w:val="000000" w:themeColor="text1"/>
        </w:rPr>
        <w:t>Siekmann</w:t>
      </w:r>
      <w:r w:rsidR="00CF33F9" w:rsidRPr="00EA6985">
        <w:rPr>
          <w:rFonts w:cstheme="minorHAnsi"/>
          <w:noProof/>
          <w:color w:val="000000" w:themeColor="text1"/>
        </w:rPr>
        <w:t xml:space="preserve"> </w:t>
      </w:r>
      <w:bookmarkStart w:id="0" w:name="_GoBack"/>
      <w:bookmarkEnd w:id="0"/>
      <w:r w:rsidRPr="00EA6985">
        <w:rPr>
          <w:rFonts w:cstheme="minorHAnsi"/>
          <w:noProof/>
          <w:color w:val="000000" w:themeColor="text1"/>
        </w:rPr>
        <w:t>2016, 514). On the contrary, the case of France during the Napoleonic Wars shows how unstable a monetary system based on unconvertible paper currency can be if “most other sources of revenue [are] exhausted” (Roberds and Velde 2016, 479). In other words, the French government issued large quantities of banknotes without providing bearers a means to redeem them in any relevant ways (Bordo and White 1993; Antipa and Chamley 2017). The United State civil war provides similar insights with the North and the South experiencing different outcome</w:t>
      </w:r>
      <w:r w:rsidR="00CE003C" w:rsidRPr="00EA6985">
        <w:rPr>
          <w:rFonts w:cstheme="minorHAnsi"/>
          <w:noProof/>
          <w:color w:val="000000" w:themeColor="text1"/>
        </w:rPr>
        <w:t>s</w:t>
      </w:r>
      <w:r w:rsidRPr="00EA6985">
        <w:rPr>
          <w:rFonts w:cstheme="minorHAnsi"/>
          <w:noProof/>
          <w:color w:val="000000" w:themeColor="text1"/>
        </w:rPr>
        <w:t xml:space="preserve"> in terms of monetary stability because of different abilit</w:t>
      </w:r>
      <w:r w:rsidR="00CE003C" w:rsidRPr="00EA6985">
        <w:rPr>
          <w:rFonts w:cstheme="minorHAnsi"/>
          <w:noProof/>
          <w:color w:val="000000" w:themeColor="text1"/>
        </w:rPr>
        <w:t>ies</w:t>
      </w:r>
      <w:r w:rsidRPr="00EA6985">
        <w:rPr>
          <w:rFonts w:cstheme="minorHAnsi"/>
          <w:noProof/>
          <w:color w:val="000000" w:themeColor="text1"/>
        </w:rPr>
        <w:t xml:space="preserve"> to impose and enforce taxes (Ron and Valeonti 2021).</w:t>
      </w:r>
    </w:p>
    <w:p w14:paraId="01978660" w14:textId="77777777" w:rsidR="00021587" w:rsidRPr="00EA6985" w:rsidRDefault="00021587" w:rsidP="00021587">
      <w:pPr>
        <w:spacing w:before="120" w:after="120" w:line="240" w:lineRule="auto"/>
        <w:ind w:firstLine="360"/>
        <w:rPr>
          <w:rFonts w:cstheme="minorHAnsi"/>
          <w:noProof/>
          <w:color w:val="000000" w:themeColor="text1"/>
        </w:rPr>
      </w:pPr>
      <w:r w:rsidRPr="00EA6985">
        <w:rPr>
          <w:rFonts w:cstheme="minorHAnsi"/>
          <w:noProof/>
          <w:color w:val="000000" w:themeColor="text1"/>
        </w:rPr>
        <w:t>In the 20</w:t>
      </w:r>
      <w:r w:rsidRPr="00EA6985">
        <w:rPr>
          <w:rFonts w:cstheme="minorHAnsi"/>
          <w:noProof/>
          <w:color w:val="000000" w:themeColor="text1"/>
          <w:vertAlign w:val="superscript"/>
        </w:rPr>
        <w:t>th</w:t>
      </w:r>
      <w:r w:rsidRPr="00EA6985">
        <w:rPr>
          <w:rFonts w:cstheme="minorHAnsi"/>
          <w:noProof/>
          <w:color w:val="000000" w:themeColor="text1"/>
        </w:rPr>
        <w:t xml:space="preserve"> century, hyperinflation did not occur among European countries that were subject to destructive wars, even when the central bank directly financed the Treasury, if there was a tax structure and tax base that allowed the fiscal deficit to fall when needed (Velde 2016). Hellferich (1927 (1969), 599-601) notes that German hyperinflation came from the incompatibility of a war devastated productive system with the demands of the external debt coming from reparation and pre-war debt. This was compounded by a default on reparation debt that led to a depreciation of the exchange rate and higher import prices. More recently, the experience of Latin American countries (Kaboub et al. 2019; </w:t>
      </w:r>
      <w:r w:rsidRPr="00EA6985">
        <w:rPr>
          <w:rFonts w:cstheme="minorHAnsi"/>
          <w:bCs/>
          <w:noProof/>
          <w:color w:val="000000" w:themeColor="text1"/>
        </w:rPr>
        <w:t>Câmara and Vernengo 2004)</w:t>
      </w:r>
      <w:r w:rsidRPr="00EA6985">
        <w:rPr>
          <w:rFonts w:cstheme="minorHAnsi"/>
          <w:noProof/>
          <w:color w:val="000000" w:themeColor="text1"/>
        </w:rPr>
        <w:t xml:space="preserve"> and Zimbawe (Mitchell 2009) show that the sources of hyperinflation have to be found once again in disruptions of productive capacities and external debt. </w:t>
      </w:r>
    </w:p>
    <w:p w14:paraId="2D0ABD62" w14:textId="77777777" w:rsidR="00021587" w:rsidRPr="00EA6985" w:rsidRDefault="00021587" w:rsidP="00021587">
      <w:pPr>
        <w:spacing w:before="120" w:after="120" w:line="240" w:lineRule="auto"/>
        <w:ind w:firstLine="360"/>
        <w:rPr>
          <w:rFonts w:cstheme="minorHAnsi"/>
          <w:noProof/>
          <w:color w:val="000000" w:themeColor="text1"/>
        </w:rPr>
      </w:pPr>
      <w:r w:rsidRPr="00EA6985">
        <w:rPr>
          <w:rFonts w:cstheme="minorHAnsi"/>
          <w:noProof/>
          <w:color w:val="000000" w:themeColor="text1"/>
        </w:rPr>
        <w:t>Overall, MMT rejects monetary sources of inflation and hyperinflation and focuses on the underlying productive, financial and political instabilities (Mitchell, Wray and Watts 2019, 344-346; Amstrong and Mosler 2020). The money supply, being endogenous, accommodates the rising cost of living instead of being the cause of such a rise. As such, MMT agrees mostly with Vernengo and Caldent</w:t>
      </w:r>
      <w:r w:rsidR="00CE003C" w:rsidRPr="00EA6985">
        <w:rPr>
          <w:rFonts w:cstheme="minorHAnsi"/>
          <w:noProof/>
          <w:color w:val="000000" w:themeColor="text1"/>
        </w:rPr>
        <w:t>e</w:t>
      </w:r>
      <w:r w:rsidRPr="00EA6985">
        <w:rPr>
          <w:rFonts w:cstheme="minorHAnsi"/>
          <w:noProof/>
          <w:color w:val="000000" w:themeColor="text1"/>
        </w:rPr>
        <w:t xml:space="preserve">y when they note that: </w:t>
      </w:r>
    </w:p>
    <w:p w14:paraId="10102E66" w14:textId="77777777" w:rsidR="00021587" w:rsidRPr="00EA6985" w:rsidRDefault="00021587" w:rsidP="00021587">
      <w:pPr>
        <w:pStyle w:val="Quote"/>
        <w:spacing w:before="120" w:after="120" w:line="240" w:lineRule="auto"/>
        <w:rPr>
          <w:rFonts w:cstheme="minorHAnsi"/>
          <w:noProof/>
          <w:color w:val="000000" w:themeColor="text1"/>
        </w:rPr>
      </w:pPr>
      <w:r w:rsidRPr="00EA6985">
        <w:rPr>
          <w:rStyle w:val="highlight"/>
          <w:rFonts w:cstheme="minorHAnsi"/>
          <w:noProof/>
          <w:color w:val="000000" w:themeColor="text1"/>
        </w:rPr>
        <w:lastRenderedPageBreak/>
        <w:t xml:space="preserve">Hyperinflations tend to occur because countries </w:t>
      </w:r>
      <w:r w:rsidRPr="00EA6985">
        <w:rPr>
          <w:rFonts w:cstheme="minorHAnsi"/>
          <w:noProof/>
          <w:color w:val="000000" w:themeColor="text1"/>
        </w:rPr>
        <w:t>do need to make payments in foreign currency, be that for the needs of development, the requirements of war, or simply by the imposition of foreign powers (e.g., reparations), and are not connected to problems with the tax system, let alone the central bank printing press (Vernengo and Caldent</w:t>
      </w:r>
      <w:r w:rsidR="00CE003C" w:rsidRPr="00EA6985">
        <w:rPr>
          <w:rFonts w:cstheme="minorHAnsi"/>
          <w:noProof/>
          <w:color w:val="000000" w:themeColor="text1"/>
        </w:rPr>
        <w:t>e</w:t>
      </w:r>
      <w:r w:rsidRPr="00EA6985">
        <w:rPr>
          <w:rFonts w:cstheme="minorHAnsi"/>
          <w:noProof/>
          <w:color w:val="000000" w:themeColor="text1"/>
        </w:rPr>
        <w:t>y 2020, 344)</w:t>
      </w:r>
    </w:p>
    <w:p w14:paraId="57D0BD35" w14:textId="77777777" w:rsidR="00021587" w:rsidRPr="00EA6985" w:rsidRDefault="00021587" w:rsidP="00021587">
      <w:pPr>
        <w:autoSpaceDE w:val="0"/>
        <w:autoSpaceDN w:val="0"/>
        <w:adjustRightInd w:val="0"/>
        <w:spacing w:before="120" w:after="120" w:line="240" w:lineRule="auto"/>
        <w:rPr>
          <w:rFonts w:cstheme="minorHAnsi"/>
          <w:noProof/>
          <w:color w:val="000000" w:themeColor="text1"/>
        </w:rPr>
      </w:pPr>
      <w:r w:rsidRPr="00EA6985">
        <w:rPr>
          <w:rFonts w:cstheme="minorHAnsi"/>
          <w:noProof/>
          <w:color w:val="000000" w:themeColor="text1"/>
        </w:rPr>
        <w:t xml:space="preserve">However, MMT emphasizes the importance of the inadequacy, or even collapse in the more severe cases, of the tax system in generating cases of hyperinflation. This does not come from the fact that the money supply is injected exogenously in the system, but rather from the lack of redemption/reflux channels for the government currency (REDEMPTION ENTRY). </w:t>
      </w:r>
    </w:p>
    <w:p w14:paraId="1A29131D" w14:textId="77777777" w:rsidR="00017956" w:rsidRPr="00EA6985" w:rsidRDefault="00017956" w:rsidP="00017956">
      <w:pPr>
        <w:spacing w:before="120" w:after="120" w:line="240" w:lineRule="auto"/>
        <w:rPr>
          <w:rFonts w:cstheme="minorHAnsi"/>
          <w:b/>
          <w:noProof/>
          <w:color w:val="000000" w:themeColor="text1"/>
        </w:rPr>
      </w:pPr>
      <w:r w:rsidRPr="00EA6985">
        <w:rPr>
          <w:rFonts w:cstheme="minorHAnsi"/>
          <w:b/>
          <w:noProof/>
          <w:color w:val="000000" w:themeColor="text1"/>
        </w:rPr>
        <w:t>Putting it all together</w:t>
      </w:r>
    </w:p>
    <w:p w14:paraId="34CF0D16" w14:textId="77777777" w:rsidR="00017956" w:rsidRPr="00EA6985" w:rsidRDefault="00017956" w:rsidP="00017956">
      <w:pPr>
        <w:spacing w:before="120" w:after="120" w:line="240" w:lineRule="auto"/>
        <w:ind w:firstLine="360"/>
        <w:rPr>
          <w:rFonts w:cstheme="minorHAnsi"/>
          <w:noProof/>
          <w:color w:val="000000" w:themeColor="text1"/>
        </w:rPr>
      </w:pPr>
      <w:r w:rsidRPr="00EA6985">
        <w:rPr>
          <w:rFonts w:cstheme="minorHAnsi"/>
          <w:noProof/>
          <w:color w:val="000000" w:themeColor="text1"/>
        </w:rPr>
        <w:t>Davidson likes to use the example of Korean War scripts issued by the U.S. military to show that a currency is not tax driven. Korean citizens u</w:t>
      </w:r>
      <w:r w:rsidR="007363BC" w:rsidRPr="00EA6985">
        <w:rPr>
          <w:rFonts w:cstheme="minorHAnsi"/>
          <w:noProof/>
          <w:color w:val="000000" w:themeColor="text1"/>
        </w:rPr>
        <w:t>sed the scripts instead of the y</w:t>
      </w:r>
      <w:r w:rsidRPr="00EA6985">
        <w:rPr>
          <w:rFonts w:cstheme="minorHAnsi"/>
          <w:noProof/>
          <w:color w:val="000000" w:themeColor="text1"/>
        </w:rPr>
        <w:t>uan in their d</w:t>
      </w:r>
      <w:r w:rsidR="007363BC" w:rsidRPr="00EA6985">
        <w:rPr>
          <w:rFonts w:cstheme="minorHAnsi"/>
          <w:noProof/>
          <w:color w:val="000000" w:themeColor="text1"/>
        </w:rPr>
        <w:t>aily transactions and used the y</w:t>
      </w:r>
      <w:r w:rsidRPr="00EA6985">
        <w:rPr>
          <w:rFonts w:cstheme="minorHAnsi"/>
          <w:noProof/>
          <w:color w:val="000000" w:themeColor="text1"/>
        </w:rPr>
        <w:t xml:space="preserve">uan only for tax purposes: </w:t>
      </w:r>
    </w:p>
    <w:p w14:paraId="0635DEC3" w14:textId="77777777" w:rsidR="00017956" w:rsidRPr="00EA6985" w:rsidRDefault="00017956" w:rsidP="00017956">
      <w:pPr>
        <w:pStyle w:val="Quote"/>
        <w:spacing w:before="120" w:after="120" w:line="240" w:lineRule="auto"/>
        <w:rPr>
          <w:rFonts w:cstheme="minorHAnsi"/>
          <w:noProof/>
          <w:color w:val="000000" w:themeColor="text1"/>
        </w:rPr>
      </w:pPr>
      <w:r w:rsidRPr="00EA6985">
        <w:rPr>
          <w:rFonts w:cstheme="minorHAnsi"/>
          <w:noProof/>
          <w:color w:val="000000" w:themeColor="text1"/>
        </w:rPr>
        <w:t>I have suggested the following (black swan) illustration to tax-based money chartalists several times. […] During the Korean war, the South Korean civilian population legally had only access to South Korean yuan as the currency to pay taxes -- and as legal tender. The US servicemen in Korea were paid in military script. […] The Korean civilian population had little faith in their government and hence gladly sold anything the servicemen wanted for military script. Legally the Korean civilian population could NOT use military script to buy things at the US. Post Exchanges, could NOT use the military script to pay taxes, could NOT legally convert military script into yuan, and could not legally settle contracts between civilians. […] What the authorities found out was that only a small portion of the script was refluxed through the Post Exchanges—much of the monthly payroll script ended up in the pockets of the civilian population who would use the US military script for settling liabilities between civilians. The civilian population would accept yuan in private sector transactions when they had to pay taxes—and only enough to pay these taxes. […] Consequently, the US authorities were continually printing more script. Every once in a while, […] the US authorities would have a currency (script)conversion […] and the old script would—after 24 or 48 hours—no longer be acceptable to buy things at the Post Exchange. When the civilian population got wind that such a currency (script) conversion was about to take place—they would lose confidence in the old script. (Davidson’s email on the Post Keynesian listserve, Sun, 30 Dec 2001 19:57:48 -0500)</w:t>
      </w:r>
    </w:p>
    <w:p w14:paraId="5BAF832E" w14:textId="3159A0CF" w:rsidR="00017956" w:rsidRDefault="00017956" w:rsidP="00017956">
      <w:pPr>
        <w:autoSpaceDE w:val="0"/>
        <w:autoSpaceDN w:val="0"/>
        <w:adjustRightInd w:val="0"/>
        <w:spacing w:before="120" w:after="120" w:line="240" w:lineRule="auto"/>
        <w:rPr>
          <w:rFonts w:cstheme="minorHAnsi"/>
          <w:noProof/>
          <w:color w:val="000000" w:themeColor="text1"/>
        </w:rPr>
      </w:pPr>
      <w:r w:rsidRPr="00EA6985">
        <w:rPr>
          <w:rFonts w:cstheme="minorHAnsi"/>
          <w:noProof/>
          <w:color w:val="000000" w:themeColor="text1"/>
        </w:rPr>
        <w:t>This quote is excellent because, contrary to what Davidson thinks, it illustrates many points that MMT makes. First, the fiscal deficit is endogenous (only a portion of the scripts refluxed) and at equilibrium is equal to the desired net saving of the non-federal sector (in this case the Korean private sector wanted to accumulate scripts to use them as means of payments, medium of exchange and store of value). People did not want to hold the Korean government currency beyond the need to pay taxes so the equilibrium Korean fiscal balance was zero (unless there was an external desire to net save the yuan, in which case a fiscal deficit is an equilibrium, or unless there was a lack of ability to enforce tax dues, in which a fiscal surplus is an e</w:t>
      </w:r>
      <w:r w:rsidR="007363BC" w:rsidRPr="00EA6985">
        <w:rPr>
          <w:rFonts w:cstheme="minorHAnsi"/>
          <w:noProof/>
          <w:color w:val="000000" w:themeColor="text1"/>
        </w:rPr>
        <w:t>quilibrium). Second, once the U</w:t>
      </w:r>
      <w:r w:rsidRPr="00EA6985">
        <w:rPr>
          <w:rFonts w:cstheme="minorHAnsi"/>
          <w:noProof/>
          <w:color w:val="000000" w:themeColor="text1"/>
        </w:rPr>
        <w:t xml:space="preserve">S military refused its scripts in payment their fair value fell to zero. Third, nobody has a monopoly over the issuance of monetary instruments and they do not have to be legal tender. MMT does not argue that all monetary instruments are tax-driven, nor does it argue that a specific monetary instrument will be used only by those who have to pay the issuer (government, banks or others). It is quite common for monetary instruments to circulate outside </w:t>
      </w:r>
      <w:r w:rsidRPr="00EA6985">
        <w:rPr>
          <w:rFonts w:cstheme="minorHAnsi"/>
          <w:noProof/>
          <w:color w:val="000000" w:themeColor="text1"/>
        </w:rPr>
        <w:lastRenderedPageBreak/>
        <w:t>the immediate sphere of influence of their issuer, sometimes loosing or changing their monetary properties in the process. For example, in medieval times, coins circulated at their bullion value in international trade, became official coins with a different value in another country or were used as ornaments. One, however, must ask what would happen if the issuer refused to redeem its monetary instruments. Finally, acceptance can be achieved through channels of redemption</w:t>
      </w:r>
      <w:r w:rsidR="007363BC" w:rsidRPr="00EA6985">
        <w:rPr>
          <w:rFonts w:cstheme="minorHAnsi"/>
          <w:noProof/>
          <w:color w:val="000000" w:themeColor="text1"/>
        </w:rPr>
        <w:t xml:space="preserve"> other</w:t>
      </w:r>
      <w:r w:rsidRPr="00EA6985">
        <w:rPr>
          <w:rFonts w:cstheme="minorHAnsi"/>
          <w:noProof/>
          <w:color w:val="000000" w:themeColor="text1"/>
        </w:rPr>
        <w:t xml:space="preserve"> than making payments to the issuers, such as, in the case of the scripts, conversion into goods and services at the </w:t>
      </w:r>
      <w:r w:rsidR="007363BC" w:rsidRPr="00EA6985">
        <w:rPr>
          <w:rFonts w:cstheme="minorHAnsi"/>
          <w:noProof/>
          <w:color w:val="000000" w:themeColor="text1"/>
        </w:rPr>
        <w:t xml:space="preserve">military </w:t>
      </w:r>
      <w:r w:rsidRPr="00EA6985">
        <w:rPr>
          <w:rFonts w:cstheme="minorHAnsi"/>
          <w:noProof/>
          <w:color w:val="000000" w:themeColor="text1"/>
        </w:rPr>
        <w:t>Post Exchange.</w:t>
      </w:r>
    </w:p>
    <w:p w14:paraId="567AE69C" w14:textId="34B3548A" w:rsidR="00AD2DCC" w:rsidRPr="00EA6985" w:rsidRDefault="00AD2DCC" w:rsidP="00AD2DCC">
      <w:pPr>
        <w:autoSpaceDE w:val="0"/>
        <w:autoSpaceDN w:val="0"/>
        <w:adjustRightInd w:val="0"/>
        <w:spacing w:before="120" w:after="120" w:line="240" w:lineRule="auto"/>
        <w:ind w:firstLine="360"/>
        <w:rPr>
          <w:rFonts w:cstheme="minorHAnsi"/>
          <w:noProof/>
          <w:color w:val="000000" w:themeColor="text1"/>
        </w:rPr>
      </w:pPr>
      <w:r>
        <w:rPr>
          <w:rFonts w:cstheme="minorHAnsi"/>
          <w:color w:val="000000" w:themeColor="text1"/>
        </w:rPr>
        <w:t xml:space="preserve">This understanding of the monetary system has deep roots </w:t>
      </w:r>
      <w:r w:rsidR="000C6098">
        <w:rPr>
          <w:rFonts w:cstheme="minorHAnsi"/>
          <w:color w:val="000000" w:themeColor="text1"/>
        </w:rPr>
        <w:t xml:space="preserve">that go back to </w:t>
      </w:r>
      <w:r>
        <w:rPr>
          <w:rFonts w:cstheme="minorHAnsi"/>
          <w:color w:val="000000" w:themeColor="text1"/>
        </w:rPr>
        <w:t>the</w:t>
      </w:r>
      <w:r w:rsidRPr="002A53DC">
        <w:rPr>
          <w:rFonts w:cstheme="minorHAnsi"/>
          <w:color w:val="000000" w:themeColor="text1"/>
        </w:rPr>
        <w:t xml:space="preserve"> </w:t>
      </w:r>
      <w:r w:rsidR="003B0B66">
        <w:rPr>
          <w:rFonts w:cstheme="minorHAnsi"/>
          <w:color w:val="000000" w:themeColor="text1"/>
        </w:rPr>
        <w:t>explanations</w:t>
      </w:r>
      <w:r w:rsidRPr="002A53DC">
        <w:rPr>
          <w:rFonts w:cstheme="minorHAnsi"/>
          <w:color w:val="000000" w:themeColor="text1"/>
        </w:rPr>
        <w:t xml:space="preserve"> </w:t>
      </w:r>
      <w:r>
        <w:rPr>
          <w:rFonts w:cstheme="minorHAnsi"/>
          <w:color w:val="000000" w:themeColor="text1"/>
        </w:rPr>
        <w:t xml:space="preserve">developed by, among others, Innes in the 1910s, </w:t>
      </w:r>
      <w:r w:rsidRPr="002A53DC">
        <w:rPr>
          <w:rFonts w:cstheme="minorHAnsi"/>
          <w:color w:val="000000" w:themeColor="text1"/>
        </w:rPr>
        <w:t xml:space="preserve">Thomas Smith in the 1830s, </w:t>
      </w:r>
      <w:r>
        <w:rPr>
          <w:rFonts w:cstheme="minorHAnsi"/>
          <w:color w:val="000000" w:themeColor="text1"/>
        </w:rPr>
        <w:t>Barbon in the 1790s,</w:t>
      </w:r>
      <w:r w:rsidRPr="002A53DC">
        <w:rPr>
          <w:rFonts w:cstheme="minorHAnsi"/>
          <w:color w:val="000000" w:themeColor="text1"/>
        </w:rPr>
        <w:t xml:space="preserve"> </w:t>
      </w:r>
      <w:r>
        <w:rPr>
          <w:rFonts w:cstheme="minorHAnsi"/>
          <w:color w:val="000000" w:themeColor="text1"/>
        </w:rPr>
        <w:t xml:space="preserve">Potter in the 1650s </w:t>
      </w:r>
      <w:r w:rsidRPr="002A53DC">
        <w:rPr>
          <w:rFonts w:cstheme="minorHAnsi"/>
          <w:color w:val="000000" w:themeColor="text1"/>
        </w:rPr>
        <w:t xml:space="preserve">well as the monetary experiments and observations of economists and politicians and </w:t>
      </w:r>
      <w:r>
        <w:rPr>
          <w:rFonts w:cstheme="minorHAnsi"/>
          <w:color w:val="000000" w:themeColor="text1"/>
        </w:rPr>
        <w:t>the</w:t>
      </w:r>
      <w:r w:rsidRPr="002A53DC">
        <w:rPr>
          <w:rFonts w:cstheme="minorHAnsi"/>
          <w:color w:val="000000" w:themeColor="text1"/>
        </w:rPr>
        <w:t xml:space="preserve"> US colonies in the 17</w:t>
      </w:r>
      <w:r w:rsidRPr="002A53DC">
        <w:rPr>
          <w:rFonts w:cstheme="minorHAnsi"/>
          <w:color w:val="000000" w:themeColor="text1"/>
          <w:vertAlign w:val="superscript"/>
        </w:rPr>
        <w:t>th</w:t>
      </w:r>
      <w:r w:rsidRPr="002A53DC">
        <w:rPr>
          <w:rFonts w:cstheme="minorHAnsi"/>
          <w:color w:val="000000" w:themeColor="text1"/>
        </w:rPr>
        <w:t xml:space="preserve"> and 18</w:t>
      </w:r>
      <w:r w:rsidRPr="002A53DC">
        <w:rPr>
          <w:rFonts w:cstheme="minorHAnsi"/>
          <w:color w:val="000000" w:themeColor="text1"/>
          <w:vertAlign w:val="superscript"/>
        </w:rPr>
        <w:t>th</w:t>
      </w:r>
      <w:r w:rsidR="000C6098">
        <w:rPr>
          <w:rFonts w:cstheme="minorHAnsi"/>
          <w:color w:val="000000" w:themeColor="text1"/>
        </w:rPr>
        <w:t xml:space="preserve"> centuries (</w:t>
      </w:r>
      <w:proofErr w:type="spellStart"/>
      <w:r w:rsidR="000C6098">
        <w:rPr>
          <w:rFonts w:cstheme="minorHAnsi"/>
          <w:color w:val="000000" w:themeColor="text1"/>
        </w:rPr>
        <w:t>Forstater</w:t>
      </w:r>
      <w:proofErr w:type="spellEnd"/>
      <w:r w:rsidR="000C6098">
        <w:rPr>
          <w:rFonts w:cstheme="minorHAnsi"/>
          <w:color w:val="000000" w:themeColor="text1"/>
        </w:rPr>
        <w:t xml:space="preserve"> 2006</w:t>
      </w:r>
      <w:r w:rsidRPr="002A53DC">
        <w:rPr>
          <w:rFonts w:cstheme="minorHAnsi"/>
          <w:color w:val="000000" w:themeColor="text1"/>
        </w:rPr>
        <w:t>). One can retrace the origins of MMT conceptualization of government finances all the way back to Roman times when jurist Julius Paulus, noted “the importance of public authority backing money and the fact that the value of money does not depend on its substance” (Rüfner 2016, 99). Similar experiences can be found in Ancient and Early Imperial China (Thierry 1993), Ancient Greece (Peacok 2006) and Africa (Forstater 2006).</w:t>
      </w:r>
    </w:p>
    <w:p w14:paraId="77485938" w14:textId="77777777" w:rsidR="008D7AD4" w:rsidRPr="00EA6985" w:rsidRDefault="008D7AD4" w:rsidP="00017956">
      <w:pPr>
        <w:autoSpaceDE w:val="0"/>
        <w:autoSpaceDN w:val="0"/>
        <w:adjustRightInd w:val="0"/>
        <w:spacing w:before="120" w:after="120" w:line="240" w:lineRule="auto"/>
        <w:rPr>
          <w:rFonts w:cstheme="minorHAnsi"/>
          <w:noProof/>
          <w:color w:val="000000" w:themeColor="text1"/>
        </w:rPr>
      </w:pPr>
    </w:p>
    <w:p w14:paraId="2D93AD8F" w14:textId="77777777" w:rsidR="00017956" w:rsidRPr="003153A9" w:rsidRDefault="00017956" w:rsidP="00017956">
      <w:pPr>
        <w:spacing w:before="120" w:after="120" w:line="240" w:lineRule="auto"/>
        <w:rPr>
          <w:rFonts w:cstheme="minorHAnsi"/>
          <w:b/>
          <w:noProof/>
          <w:color w:val="000000" w:themeColor="text1"/>
          <w:lang w:val="fr-FR"/>
        </w:rPr>
      </w:pPr>
      <w:r w:rsidRPr="003153A9">
        <w:rPr>
          <w:rFonts w:cstheme="minorHAnsi"/>
          <w:b/>
          <w:noProof/>
          <w:color w:val="000000" w:themeColor="text1"/>
          <w:lang w:val="fr-FR"/>
        </w:rPr>
        <w:t>References</w:t>
      </w:r>
    </w:p>
    <w:p w14:paraId="1576164D" w14:textId="77777777" w:rsidR="00017956" w:rsidRPr="00460E6A" w:rsidRDefault="00017956" w:rsidP="00460E6A">
      <w:pPr>
        <w:spacing w:before="120" w:after="0" w:line="240" w:lineRule="auto"/>
        <w:ind w:left="360" w:hanging="360"/>
        <w:rPr>
          <w:rFonts w:cstheme="minorHAnsi"/>
          <w:noProof/>
          <w:color w:val="000000" w:themeColor="text1"/>
        </w:rPr>
      </w:pPr>
      <w:r w:rsidRPr="00460E6A">
        <w:rPr>
          <w:rFonts w:cstheme="minorHAnsi"/>
          <w:noProof/>
          <w:color w:val="000000" w:themeColor="text1"/>
          <w:lang w:val="fr-FR"/>
        </w:rPr>
        <w:t xml:space="preserve">Alary, P., Blanc, J., Desmedt, L. and Théret, B. (2016) </w:t>
      </w:r>
      <w:r w:rsidRPr="00460E6A">
        <w:rPr>
          <w:rFonts w:cstheme="minorHAnsi"/>
          <w:i/>
          <w:noProof/>
          <w:color w:val="000000" w:themeColor="text1"/>
          <w:lang w:val="fr-FR"/>
        </w:rPr>
        <w:t>Theories Françaises de la Monnaie</w:t>
      </w:r>
      <w:r w:rsidRPr="00460E6A">
        <w:rPr>
          <w:rFonts w:cstheme="minorHAnsi"/>
          <w:noProof/>
          <w:color w:val="000000" w:themeColor="text1"/>
          <w:lang w:val="fr-FR"/>
        </w:rPr>
        <w:t xml:space="preserve">. </w:t>
      </w:r>
      <w:r w:rsidRPr="00460E6A">
        <w:rPr>
          <w:rFonts w:cstheme="minorHAnsi"/>
          <w:noProof/>
          <w:color w:val="000000" w:themeColor="text1"/>
        </w:rPr>
        <w:t>Paris: Presses Universitaires de France.</w:t>
      </w:r>
    </w:p>
    <w:p w14:paraId="6E424928" w14:textId="77777777" w:rsidR="00CC1DAA" w:rsidRPr="00460E6A" w:rsidRDefault="00CC1DAA" w:rsidP="00460E6A">
      <w:pPr>
        <w:spacing w:before="120" w:after="0" w:line="240" w:lineRule="auto"/>
        <w:ind w:left="360" w:hanging="360"/>
        <w:rPr>
          <w:rStyle w:val="Hyperlink"/>
          <w:rFonts w:cstheme="minorHAnsi"/>
          <w:noProof/>
          <w:color w:val="000000" w:themeColor="text1"/>
        </w:rPr>
      </w:pPr>
      <w:r w:rsidRPr="00460E6A">
        <w:rPr>
          <w:rFonts w:cstheme="minorHAnsi"/>
          <w:noProof/>
          <w:color w:val="000000" w:themeColor="text1"/>
        </w:rPr>
        <w:t xml:space="preserve">Armstrong, P. and Mosler, W.B. (2020) “Weimar republic hyperinflation through a modern monetary theory” Mimeograph. Accessed July 16, 2021 at </w:t>
      </w:r>
      <w:hyperlink r:id="rId6" w:history="1">
        <w:r w:rsidRPr="00460E6A">
          <w:rPr>
            <w:rStyle w:val="Hyperlink"/>
            <w:rFonts w:cstheme="minorHAnsi"/>
            <w:noProof/>
            <w:color w:val="000000" w:themeColor="text1"/>
          </w:rPr>
          <w:t>http://moslereconomics.com/wp-content/uploads/2020/11/Weimar-Republic-Hyperinflation-through-a-Modern-Monetary-Theory-Lens.pdf</w:t>
        </w:r>
      </w:hyperlink>
    </w:p>
    <w:p w14:paraId="7FFD84C7" w14:textId="77777777" w:rsidR="00CC1DAA" w:rsidRPr="00460E6A" w:rsidRDefault="00CC1DAA" w:rsidP="00460E6A">
      <w:pPr>
        <w:spacing w:before="120" w:after="0" w:line="240" w:lineRule="auto"/>
        <w:ind w:left="360" w:hanging="360"/>
        <w:jc w:val="both"/>
        <w:rPr>
          <w:rFonts w:cstheme="minorHAnsi"/>
          <w:noProof/>
          <w:color w:val="000000" w:themeColor="text1"/>
        </w:rPr>
      </w:pPr>
      <w:r w:rsidRPr="00460E6A">
        <w:rPr>
          <w:rFonts w:cstheme="minorHAnsi"/>
          <w:noProof/>
          <w:color w:val="000000" w:themeColor="text1"/>
        </w:rPr>
        <w:t xml:space="preserve">Antipa, P.M. and Chamley, C. (2017) “Monetary and fiscal policy in England during the French Wars (1793-1821)” Banque de France Working Paper No. 627. </w:t>
      </w:r>
    </w:p>
    <w:p w14:paraId="3BDBD33C" w14:textId="77777777" w:rsidR="00017956" w:rsidRPr="00460E6A" w:rsidRDefault="00017956" w:rsidP="00460E6A">
      <w:pPr>
        <w:spacing w:before="120" w:after="0" w:line="240" w:lineRule="auto"/>
        <w:ind w:left="360" w:hanging="360"/>
        <w:rPr>
          <w:rFonts w:cstheme="minorHAnsi"/>
          <w:noProof/>
          <w:color w:val="000000" w:themeColor="text1"/>
        </w:rPr>
      </w:pPr>
      <w:r w:rsidRPr="00460E6A">
        <w:rPr>
          <w:rFonts w:cstheme="minorHAnsi"/>
          <w:noProof/>
          <w:color w:val="000000" w:themeColor="text1"/>
        </w:rPr>
        <w:t xml:space="preserve">Bell, S.A. </w:t>
      </w:r>
      <w:r w:rsidRPr="00460E6A">
        <w:rPr>
          <w:rFonts w:eastAsia="Times New Roman" w:cstheme="minorHAnsi"/>
          <w:noProof/>
          <w:color w:val="000000" w:themeColor="text1"/>
        </w:rPr>
        <w:t>(2001) “</w:t>
      </w:r>
      <w:r w:rsidRPr="00460E6A">
        <w:rPr>
          <w:rFonts w:cstheme="minorHAnsi"/>
          <w:noProof/>
          <w:color w:val="000000" w:themeColor="text1"/>
        </w:rPr>
        <w:t xml:space="preserve">The role of the state and the hierarchy of money” </w:t>
      </w:r>
      <w:r w:rsidRPr="00460E6A">
        <w:rPr>
          <w:rStyle w:val="Emphasis"/>
          <w:rFonts w:cstheme="minorHAnsi"/>
          <w:noProof/>
          <w:color w:val="000000" w:themeColor="text1"/>
        </w:rPr>
        <w:t>Cambridge Journal of Economics</w:t>
      </w:r>
      <w:r w:rsidRPr="00460E6A">
        <w:rPr>
          <w:rFonts w:cstheme="minorHAnsi"/>
          <w:noProof/>
          <w:color w:val="000000" w:themeColor="text1"/>
        </w:rPr>
        <w:t>, 25 (2): 149-163.</w:t>
      </w:r>
    </w:p>
    <w:p w14:paraId="7B4371E5" w14:textId="77777777" w:rsidR="00017956" w:rsidRPr="00460E6A" w:rsidRDefault="00017956" w:rsidP="00460E6A">
      <w:pPr>
        <w:autoSpaceDE w:val="0"/>
        <w:autoSpaceDN w:val="0"/>
        <w:adjustRightInd w:val="0"/>
        <w:spacing w:before="120" w:after="0" w:line="240" w:lineRule="auto"/>
        <w:ind w:left="360" w:hanging="360"/>
        <w:rPr>
          <w:rFonts w:eastAsia="Times New Roman" w:cstheme="minorHAnsi"/>
          <w:noProof/>
          <w:color w:val="000000" w:themeColor="text1"/>
        </w:rPr>
      </w:pPr>
      <w:r w:rsidRPr="00460E6A">
        <w:rPr>
          <w:rFonts w:cstheme="minorHAnsi"/>
          <w:noProof/>
          <w:color w:val="000000" w:themeColor="text1"/>
        </w:rPr>
        <w:t xml:space="preserve">Bell, S.A. and Henry, J.F. (2001) “Hospitality versus exchange: The limits of monetary economies” </w:t>
      </w:r>
      <w:r w:rsidRPr="00460E6A">
        <w:rPr>
          <w:rFonts w:cstheme="minorHAnsi"/>
          <w:i/>
          <w:noProof/>
          <w:color w:val="000000" w:themeColor="text1"/>
        </w:rPr>
        <w:t>Review of Social Economy</w:t>
      </w:r>
      <w:r w:rsidRPr="00460E6A">
        <w:rPr>
          <w:rFonts w:cstheme="minorHAnsi"/>
          <w:noProof/>
          <w:color w:val="000000" w:themeColor="text1"/>
        </w:rPr>
        <w:t>, 59 (2): 203-226.</w:t>
      </w:r>
    </w:p>
    <w:p w14:paraId="65755ADF" w14:textId="77777777" w:rsidR="00017956" w:rsidRPr="00460E6A" w:rsidRDefault="00017956" w:rsidP="00460E6A">
      <w:pPr>
        <w:spacing w:before="120" w:after="0" w:line="240" w:lineRule="auto"/>
        <w:ind w:left="360" w:hanging="360"/>
        <w:rPr>
          <w:rFonts w:cstheme="minorHAnsi"/>
          <w:iCs/>
          <w:noProof/>
          <w:color w:val="000000" w:themeColor="text1"/>
        </w:rPr>
      </w:pPr>
      <w:r w:rsidRPr="00460E6A">
        <w:rPr>
          <w:rFonts w:cstheme="minorHAnsi"/>
          <w:iCs/>
          <w:noProof/>
          <w:color w:val="000000" w:themeColor="text1"/>
        </w:rPr>
        <w:t xml:space="preserve">Bell, S.A. and Nell, E.J. (2003) </w:t>
      </w:r>
      <w:r w:rsidRPr="00460E6A">
        <w:rPr>
          <w:rFonts w:cstheme="minorHAnsi"/>
          <w:i/>
          <w:iCs/>
          <w:noProof/>
          <w:color w:val="000000" w:themeColor="text1"/>
        </w:rPr>
        <w:t>The State, the Market, and the Euro</w:t>
      </w:r>
      <w:r w:rsidRPr="00460E6A">
        <w:rPr>
          <w:rFonts w:cstheme="minorHAnsi"/>
          <w:iCs/>
          <w:noProof/>
          <w:color w:val="000000" w:themeColor="text1"/>
        </w:rPr>
        <w:t>. Northampton: Edward Elgar.</w:t>
      </w:r>
    </w:p>
    <w:p w14:paraId="705C9C3D" w14:textId="77777777" w:rsidR="00902E8C" w:rsidRPr="00460E6A" w:rsidRDefault="00902E8C" w:rsidP="00460E6A">
      <w:pPr>
        <w:autoSpaceDE w:val="0"/>
        <w:autoSpaceDN w:val="0"/>
        <w:adjustRightInd w:val="0"/>
        <w:spacing w:before="120" w:after="0" w:line="240" w:lineRule="auto"/>
        <w:ind w:left="360" w:hanging="360"/>
        <w:rPr>
          <w:rFonts w:cstheme="minorHAnsi"/>
          <w:color w:val="000000" w:themeColor="text1"/>
        </w:rPr>
      </w:pPr>
      <w:r w:rsidRPr="00460E6A">
        <w:rPr>
          <w:rFonts w:cstheme="minorHAnsi"/>
          <w:color w:val="000000" w:themeColor="text1"/>
        </w:rPr>
        <w:t xml:space="preserve">Barbon, N. (1790) </w:t>
      </w:r>
      <w:r w:rsidRPr="00460E6A">
        <w:rPr>
          <w:rFonts w:cstheme="minorHAnsi"/>
          <w:i/>
          <w:color w:val="000000" w:themeColor="text1"/>
        </w:rPr>
        <w:t>A Discourse on Trade</w:t>
      </w:r>
      <w:r w:rsidRPr="00460E6A">
        <w:rPr>
          <w:rFonts w:cstheme="minorHAnsi"/>
          <w:color w:val="000000" w:themeColor="text1"/>
        </w:rPr>
        <w:t>. Reprinted by John Hopkins University Press, Baltimore, 1905.</w:t>
      </w:r>
    </w:p>
    <w:p w14:paraId="2BE2D47C" w14:textId="77777777" w:rsidR="00902E8C" w:rsidRPr="00460E6A" w:rsidRDefault="00902E8C" w:rsidP="00460E6A">
      <w:pPr>
        <w:autoSpaceDE w:val="0"/>
        <w:autoSpaceDN w:val="0"/>
        <w:adjustRightInd w:val="0"/>
        <w:spacing w:before="120" w:after="0" w:line="240" w:lineRule="auto"/>
        <w:ind w:left="360" w:hanging="360"/>
        <w:rPr>
          <w:rFonts w:cstheme="minorHAnsi"/>
          <w:color w:val="000000" w:themeColor="text1"/>
        </w:rPr>
      </w:pPr>
      <w:r w:rsidRPr="00460E6A">
        <w:rPr>
          <w:rFonts w:cstheme="minorHAnsi"/>
          <w:color w:val="000000" w:themeColor="text1"/>
        </w:rPr>
        <w:t xml:space="preserve">_____. (1796) </w:t>
      </w:r>
      <w:r w:rsidRPr="00460E6A">
        <w:rPr>
          <w:rStyle w:val="monotitle"/>
          <w:rFonts w:cstheme="minorHAnsi"/>
          <w:i/>
          <w:color w:val="000000" w:themeColor="text1"/>
        </w:rPr>
        <w:t>A discourse concerning coining the new money lighter in answer to Mr. Lock's Considerations about raising the value of money</w:t>
      </w:r>
      <w:r w:rsidRPr="00460E6A">
        <w:rPr>
          <w:rStyle w:val="monotitle"/>
          <w:rFonts w:cstheme="minorHAnsi"/>
          <w:color w:val="000000" w:themeColor="text1"/>
        </w:rPr>
        <w:t xml:space="preserve">. </w:t>
      </w:r>
      <w:r w:rsidRPr="00460E6A">
        <w:rPr>
          <w:rStyle w:val="rend-italic"/>
          <w:rFonts w:cstheme="minorHAnsi"/>
          <w:color w:val="000000" w:themeColor="text1"/>
        </w:rPr>
        <w:t>London:</w:t>
      </w:r>
      <w:r w:rsidRPr="00460E6A">
        <w:rPr>
          <w:rFonts w:cstheme="minorHAnsi"/>
          <w:color w:val="000000" w:themeColor="text1"/>
        </w:rPr>
        <w:t xml:space="preserve"> </w:t>
      </w:r>
      <w:r w:rsidRPr="00460E6A">
        <w:rPr>
          <w:rStyle w:val="rend-italic"/>
          <w:rFonts w:cstheme="minorHAnsi"/>
          <w:color w:val="000000" w:themeColor="text1"/>
        </w:rPr>
        <w:t>Richard Chiswell.</w:t>
      </w:r>
    </w:p>
    <w:p w14:paraId="622C0071" w14:textId="1475B41A" w:rsidR="00CC1DAA" w:rsidRPr="00460E6A" w:rsidRDefault="00CC1DAA" w:rsidP="00460E6A">
      <w:pPr>
        <w:spacing w:before="120" w:after="0" w:line="240" w:lineRule="auto"/>
        <w:ind w:left="360" w:hanging="360"/>
        <w:jc w:val="both"/>
        <w:rPr>
          <w:rFonts w:cstheme="minorHAnsi"/>
          <w:noProof/>
          <w:color w:val="000000" w:themeColor="text1"/>
        </w:rPr>
      </w:pPr>
      <w:r w:rsidRPr="00460E6A">
        <w:rPr>
          <w:rFonts w:cstheme="minorHAnsi"/>
          <w:noProof/>
          <w:color w:val="000000" w:themeColor="text1"/>
        </w:rPr>
        <w:t xml:space="preserve">Bordo, M.D. and White, E.N. (1993) “British and French finances during the Napoleonic Wars” in Bordo, M. and Capie, F (eds.) </w:t>
      </w:r>
      <w:r w:rsidRPr="00460E6A">
        <w:rPr>
          <w:rFonts w:cstheme="minorHAnsi"/>
          <w:i/>
          <w:noProof/>
          <w:color w:val="000000" w:themeColor="text1"/>
        </w:rPr>
        <w:t>Monetary Regimes in Transition</w:t>
      </w:r>
      <w:r w:rsidRPr="00460E6A">
        <w:rPr>
          <w:rFonts w:cstheme="minorHAnsi"/>
          <w:noProof/>
          <w:color w:val="000000" w:themeColor="text1"/>
        </w:rPr>
        <w:t>, 241-273. Cambridge University Press.</w:t>
      </w:r>
    </w:p>
    <w:p w14:paraId="4D19CA50" w14:textId="77777777" w:rsidR="00017956" w:rsidRPr="00460E6A" w:rsidRDefault="00017956" w:rsidP="00460E6A">
      <w:pPr>
        <w:autoSpaceDE w:val="0"/>
        <w:autoSpaceDN w:val="0"/>
        <w:adjustRightInd w:val="0"/>
        <w:spacing w:before="120" w:after="0" w:line="240" w:lineRule="auto"/>
        <w:ind w:left="360" w:hanging="360"/>
        <w:rPr>
          <w:rFonts w:eastAsia="Calibri" w:cstheme="minorHAnsi"/>
          <w:noProof/>
          <w:color w:val="000000" w:themeColor="text1"/>
        </w:rPr>
      </w:pPr>
      <w:r w:rsidRPr="00460E6A">
        <w:rPr>
          <w:rFonts w:eastAsia="Calibri" w:cstheme="minorHAnsi"/>
          <w:noProof/>
          <w:color w:val="000000" w:themeColor="text1"/>
        </w:rPr>
        <w:t xml:space="preserve">Bougrine, H. and Seccareccia, M. (2002) “Money, taxes, public spending, and the state within a Circuitist perspective” </w:t>
      </w:r>
      <w:r w:rsidRPr="00460E6A">
        <w:rPr>
          <w:rFonts w:eastAsia="Calibri" w:cstheme="minorHAnsi"/>
          <w:i/>
          <w:iCs/>
          <w:noProof/>
          <w:color w:val="000000" w:themeColor="text1"/>
        </w:rPr>
        <w:t>International Journal of Political Economy</w:t>
      </w:r>
      <w:r w:rsidRPr="00460E6A">
        <w:rPr>
          <w:rFonts w:eastAsia="Calibri" w:cstheme="minorHAnsi"/>
          <w:iCs/>
          <w:noProof/>
          <w:color w:val="000000" w:themeColor="text1"/>
        </w:rPr>
        <w:t>,</w:t>
      </w:r>
      <w:r w:rsidRPr="00460E6A">
        <w:rPr>
          <w:rFonts w:eastAsia="Calibri" w:cstheme="minorHAnsi"/>
          <w:i/>
          <w:iCs/>
          <w:noProof/>
          <w:color w:val="000000" w:themeColor="text1"/>
        </w:rPr>
        <w:t xml:space="preserve"> </w:t>
      </w:r>
      <w:r w:rsidRPr="00460E6A">
        <w:rPr>
          <w:rFonts w:eastAsia="Calibri" w:cstheme="minorHAnsi"/>
          <w:noProof/>
          <w:color w:val="000000" w:themeColor="text1"/>
        </w:rPr>
        <w:t>32 (3): 58-79.</w:t>
      </w:r>
    </w:p>
    <w:p w14:paraId="7173420A" w14:textId="77777777" w:rsidR="00CC1DAA" w:rsidRPr="00460E6A" w:rsidRDefault="00CC1DAA" w:rsidP="00460E6A">
      <w:pPr>
        <w:autoSpaceDE w:val="0"/>
        <w:autoSpaceDN w:val="0"/>
        <w:adjustRightInd w:val="0"/>
        <w:spacing w:before="120" w:after="0" w:line="240" w:lineRule="auto"/>
        <w:ind w:left="360" w:hanging="360"/>
        <w:rPr>
          <w:rFonts w:cstheme="minorHAnsi"/>
          <w:noProof/>
          <w:color w:val="000000" w:themeColor="text1"/>
        </w:rPr>
      </w:pPr>
      <w:r w:rsidRPr="00460E6A">
        <w:rPr>
          <w:rFonts w:cstheme="minorHAnsi"/>
          <w:bCs/>
          <w:noProof/>
          <w:color w:val="000000" w:themeColor="text1"/>
        </w:rPr>
        <w:t>Câmara, A. and Vernengo, M.</w:t>
      </w:r>
      <w:r w:rsidRPr="00460E6A">
        <w:rPr>
          <w:rFonts w:cstheme="minorHAnsi"/>
          <w:noProof/>
          <w:color w:val="000000" w:themeColor="text1"/>
        </w:rPr>
        <w:t xml:space="preserve"> (2004) “Allied, German, and Latin theories of inflation” in Forstater, M. and Wray, L.R. (eds) </w:t>
      </w:r>
      <w:r w:rsidRPr="00460E6A">
        <w:rPr>
          <w:rFonts w:cstheme="minorHAnsi"/>
          <w:i/>
          <w:noProof/>
          <w:color w:val="000000" w:themeColor="text1"/>
        </w:rPr>
        <w:t>Contemporary Post Keynesian Analysis</w:t>
      </w:r>
      <w:r w:rsidRPr="00460E6A">
        <w:rPr>
          <w:rFonts w:cstheme="minorHAnsi"/>
          <w:noProof/>
          <w:color w:val="000000" w:themeColor="text1"/>
        </w:rPr>
        <w:t xml:space="preserve">, 172-184. Cheltenham: Edward Elgar. </w:t>
      </w:r>
    </w:p>
    <w:p w14:paraId="6DB977CF" w14:textId="77777777" w:rsidR="006E5042" w:rsidRPr="00460E6A" w:rsidRDefault="00613D3E" w:rsidP="00460E6A">
      <w:pPr>
        <w:autoSpaceDE w:val="0"/>
        <w:autoSpaceDN w:val="0"/>
        <w:adjustRightInd w:val="0"/>
        <w:spacing w:before="120" w:after="0" w:line="240" w:lineRule="auto"/>
        <w:ind w:left="360" w:hanging="360"/>
        <w:rPr>
          <w:rFonts w:eastAsia="Calibri" w:cstheme="minorHAnsi"/>
          <w:noProof/>
          <w:color w:val="000000" w:themeColor="text1"/>
        </w:rPr>
      </w:pPr>
      <w:r w:rsidRPr="00460E6A">
        <w:rPr>
          <w:rFonts w:eastAsia="Calibri" w:cstheme="minorHAnsi"/>
          <w:noProof/>
          <w:color w:val="000000" w:themeColor="text1"/>
        </w:rPr>
        <w:t>Cesarano, F. (2014) “The puzzle of Metallism: Searching for the nature of money” History of Political Economy 46 (2): 177-210.</w:t>
      </w:r>
    </w:p>
    <w:p w14:paraId="7F363BE7" w14:textId="77777777" w:rsidR="00017956" w:rsidRPr="00460E6A" w:rsidRDefault="00017956" w:rsidP="00460E6A">
      <w:pPr>
        <w:spacing w:before="120" w:after="0" w:line="240" w:lineRule="auto"/>
        <w:ind w:left="360" w:hanging="360"/>
        <w:jc w:val="both"/>
        <w:rPr>
          <w:rFonts w:cstheme="minorHAnsi"/>
          <w:noProof/>
          <w:color w:val="000000" w:themeColor="text1"/>
        </w:rPr>
      </w:pPr>
      <w:r w:rsidRPr="00460E6A">
        <w:rPr>
          <w:rFonts w:cstheme="minorHAnsi"/>
          <w:noProof/>
          <w:color w:val="000000" w:themeColor="text1"/>
        </w:rPr>
        <w:lastRenderedPageBreak/>
        <w:t xml:space="preserve">Dalton, G. (1965) “Primitive money” </w:t>
      </w:r>
      <w:r w:rsidRPr="00460E6A">
        <w:rPr>
          <w:rFonts w:cstheme="minorHAnsi"/>
          <w:i/>
          <w:noProof/>
          <w:color w:val="000000" w:themeColor="text1"/>
        </w:rPr>
        <w:t>American Anthropologist</w:t>
      </w:r>
      <w:r w:rsidRPr="00460E6A">
        <w:rPr>
          <w:rFonts w:cstheme="minorHAnsi"/>
          <w:noProof/>
          <w:color w:val="000000" w:themeColor="text1"/>
        </w:rPr>
        <w:t xml:space="preserve">, 67: 44-65. Reprinted in Dalton, G. (ed.) </w:t>
      </w:r>
      <w:r w:rsidRPr="00460E6A">
        <w:rPr>
          <w:rFonts w:cstheme="minorHAnsi"/>
          <w:i/>
          <w:noProof/>
          <w:color w:val="000000" w:themeColor="text1"/>
        </w:rPr>
        <w:t>Tribal and Peasant Economies</w:t>
      </w:r>
      <w:r w:rsidRPr="00460E6A">
        <w:rPr>
          <w:rFonts w:cstheme="minorHAnsi"/>
          <w:noProof/>
          <w:color w:val="000000" w:themeColor="text1"/>
        </w:rPr>
        <w:t>, 254-281. Austin: University of Texas Press.</w:t>
      </w:r>
    </w:p>
    <w:p w14:paraId="5EA508EC" w14:textId="77777777" w:rsidR="00017956" w:rsidRPr="00460E6A" w:rsidRDefault="00017956" w:rsidP="00460E6A">
      <w:pPr>
        <w:autoSpaceDE w:val="0"/>
        <w:autoSpaceDN w:val="0"/>
        <w:adjustRightInd w:val="0"/>
        <w:spacing w:before="120" w:after="0" w:line="240" w:lineRule="auto"/>
        <w:ind w:left="360" w:hanging="360"/>
        <w:rPr>
          <w:rFonts w:cstheme="minorHAnsi"/>
          <w:noProof/>
          <w:color w:val="000000" w:themeColor="text1"/>
        </w:rPr>
      </w:pPr>
      <w:r w:rsidRPr="00460E6A">
        <w:rPr>
          <w:rFonts w:cstheme="minorHAnsi"/>
          <w:noProof/>
          <w:color w:val="000000" w:themeColor="text1"/>
        </w:rPr>
        <w:t xml:space="preserve">____. (1982) “Barter” </w:t>
      </w:r>
      <w:r w:rsidRPr="00460E6A">
        <w:rPr>
          <w:rFonts w:cstheme="minorHAnsi"/>
          <w:i/>
          <w:noProof/>
          <w:color w:val="000000" w:themeColor="text1"/>
        </w:rPr>
        <w:t>Journal of Economic Issues</w:t>
      </w:r>
      <w:r w:rsidRPr="00460E6A">
        <w:rPr>
          <w:rFonts w:cstheme="minorHAnsi"/>
          <w:noProof/>
          <w:color w:val="000000" w:themeColor="text1"/>
        </w:rPr>
        <w:t>, 16 (1): 181-190.</w:t>
      </w:r>
    </w:p>
    <w:p w14:paraId="7C54373F" w14:textId="77777777" w:rsidR="00017956" w:rsidRPr="00460E6A" w:rsidRDefault="00017956" w:rsidP="00460E6A">
      <w:pPr>
        <w:spacing w:before="120" w:after="0" w:line="240" w:lineRule="auto"/>
        <w:ind w:left="360" w:hanging="360"/>
        <w:rPr>
          <w:rFonts w:eastAsia="Times New Roman" w:cstheme="minorHAnsi"/>
          <w:noProof/>
          <w:color w:val="000000" w:themeColor="text1"/>
        </w:rPr>
      </w:pPr>
      <w:r w:rsidRPr="00460E6A">
        <w:rPr>
          <w:rFonts w:eastAsia="Times New Roman" w:cstheme="minorHAnsi"/>
          <w:noProof/>
          <w:color w:val="000000" w:themeColor="text1"/>
        </w:rPr>
        <w:t xml:space="preserve">Davidson, P. </w:t>
      </w:r>
      <w:r w:rsidRPr="00460E6A">
        <w:rPr>
          <w:rFonts w:cstheme="minorHAnsi"/>
          <w:noProof/>
          <w:color w:val="000000" w:themeColor="text1"/>
        </w:rPr>
        <w:t xml:space="preserve">(2019) “What is modern about MMT? A concise note” </w:t>
      </w:r>
      <w:r w:rsidRPr="00460E6A">
        <w:rPr>
          <w:rFonts w:cstheme="minorHAnsi"/>
          <w:i/>
          <w:noProof/>
          <w:color w:val="000000" w:themeColor="text1"/>
        </w:rPr>
        <w:t>Real-World Economics Review</w:t>
      </w:r>
      <w:r w:rsidRPr="00460E6A">
        <w:rPr>
          <w:rFonts w:cstheme="minorHAnsi"/>
          <w:noProof/>
          <w:color w:val="000000" w:themeColor="text1"/>
        </w:rPr>
        <w:t>, 89: 72-74. Last accessed on October 20, 2021 at http://www.paecon.net/PAEReview/issue89/whole89.pdf</w:t>
      </w:r>
      <w:r w:rsidRPr="00460E6A">
        <w:rPr>
          <w:rFonts w:eastAsia="Times New Roman" w:cstheme="minorHAnsi"/>
          <w:noProof/>
          <w:color w:val="000000" w:themeColor="text1"/>
        </w:rPr>
        <w:t xml:space="preserve"> </w:t>
      </w:r>
    </w:p>
    <w:p w14:paraId="45D87335" w14:textId="77777777" w:rsidR="00D17ACA" w:rsidRPr="00460E6A" w:rsidRDefault="00017956" w:rsidP="00460E6A">
      <w:pPr>
        <w:spacing w:before="120" w:after="0" w:line="240" w:lineRule="auto"/>
        <w:ind w:left="360" w:hanging="360"/>
        <w:jc w:val="both"/>
        <w:rPr>
          <w:rFonts w:eastAsia="Times New Roman" w:cstheme="minorHAnsi"/>
          <w:noProof/>
          <w:color w:val="000000" w:themeColor="text1"/>
        </w:rPr>
      </w:pPr>
      <w:r w:rsidRPr="00460E6A">
        <w:rPr>
          <w:rFonts w:eastAsia="Times New Roman" w:cstheme="minorHAnsi"/>
          <w:noProof/>
          <w:color w:val="000000" w:themeColor="text1"/>
        </w:rPr>
        <w:t xml:space="preserve">Desan, C. </w:t>
      </w:r>
      <w:r w:rsidR="00D17ACA" w:rsidRPr="00460E6A">
        <w:rPr>
          <w:rFonts w:eastAsia="Times New Roman" w:cstheme="minorHAnsi"/>
          <w:noProof/>
          <w:color w:val="000000" w:themeColor="text1"/>
        </w:rPr>
        <w:t xml:space="preserve">(2010) “Coin reconsidered: The political alchemy of commodity money” </w:t>
      </w:r>
      <w:r w:rsidR="00D17ACA" w:rsidRPr="00460E6A">
        <w:rPr>
          <w:rFonts w:eastAsia="Times New Roman" w:cstheme="minorHAnsi"/>
          <w:i/>
          <w:noProof/>
          <w:color w:val="000000" w:themeColor="text1"/>
        </w:rPr>
        <w:t>Theoretical Inquiries in Law</w:t>
      </w:r>
      <w:r w:rsidR="00D17ACA" w:rsidRPr="00460E6A">
        <w:rPr>
          <w:rFonts w:eastAsia="Times New Roman" w:cstheme="minorHAnsi"/>
          <w:noProof/>
          <w:color w:val="000000" w:themeColor="text1"/>
        </w:rPr>
        <w:t>, 11 (1): 361-409.</w:t>
      </w:r>
    </w:p>
    <w:p w14:paraId="1BC893E5" w14:textId="77777777" w:rsidR="00017956" w:rsidRPr="00460E6A" w:rsidRDefault="00D17ACA" w:rsidP="00460E6A">
      <w:pPr>
        <w:spacing w:before="120" w:after="0" w:line="240" w:lineRule="auto"/>
        <w:ind w:left="360" w:hanging="360"/>
        <w:jc w:val="both"/>
        <w:rPr>
          <w:rFonts w:eastAsia="Times New Roman" w:cstheme="minorHAnsi"/>
          <w:noProof/>
          <w:color w:val="000000" w:themeColor="text1"/>
        </w:rPr>
      </w:pPr>
      <w:r w:rsidRPr="00460E6A">
        <w:rPr>
          <w:rFonts w:eastAsia="Times New Roman" w:cstheme="minorHAnsi"/>
          <w:noProof/>
          <w:color w:val="000000" w:themeColor="text1"/>
        </w:rPr>
        <w:t xml:space="preserve">____. </w:t>
      </w:r>
      <w:r w:rsidR="00017956" w:rsidRPr="00460E6A">
        <w:rPr>
          <w:rFonts w:eastAsia="Times New Roman" w:cstheme="minorHAnsi"/>
          <w:noProof/>
          <w:color w:val="000000" w:themeColor="text1"/>
        </w:rPr>
        <w:t xml:space="preserve">(2014) </w:t>
      </w:r>
      <w:r w:rsidR="00017956" w:rsidRPr="00460E6A">
        <w:rPr>
          <w:rFonts w:eastAsia="Times New Roman" w:cstheme="minorHAnsi"/>
          <w:i/>
          <w:noProof/>
          <w:color w:val="000000" w:themeColor="text1"/>
        </w:rPr>
        <w:t>Making Money: Coin, Currency and the Coming of Capitalism</w:t>
      </w:r>
      <w:r w:rsidR="00017956" w:rsidRPr="00460E6A">
        <w:rPr>
          <w:rFonts w:eastAsia="Times New Roman" w:cstheme="minorHAnsi"/>
          <w:noProof/>
          <w:color w:val="000000" w:themeColor="text1"/>
        </w:rPr>
        <w:t>. Oxford: Oxford University Press.</w:t>
      </w:r>
    </w:p>
    <w:p w14:paraId="78DE7149" w14:textId="77777777" w:rsidR="00017956" w:rsidRPr="00460E6A" w:rsidRDefault="00017956" w:rsidP="00460E6A">
      <w:pPr>
        <w:autoSpaceDE w:val="0"/>
        <w:autoSpaceDN w:val="0"/>
        <w:adjustRightInd w:val="0"/>
        <w:spacing w:before="120" w:after="0" w:line="240" w:lineRule="auto"/>
        <w:ind w:left="360" w:hanging="360"/>
        <w:rPr>
          <w:rFonts w:cstheme="minorHAnsi"/>
          <w:noProof/>
          <w:color w:val="000000" w:themeColor="text1"/>
        </w:rPr>
      </w:pPr>
      <w:r w:rsidRPr="00460E6A">
        <w:rPr>
          <w:rFonts w:cstheme="minorHAnsi"/>
          <w:noProof/>
          <w:color w:val="000000" w:themeColor="text1"/>
        </w:rPr>
        <w:t xml:space="preserve">Forstater, M. (2006) “Tax-driven money: Additional evidence from the history of economic thought, economic history and economic policy” in Setterfield, M. (ed.) </w:t>
      </w:r>
      <w:r w:rsidRPr="00460E6A">
        <w:rPr>
          <w:rFonts w:cstheme="minorHAnsi"/>
          <w:i/>
          <w:noProof/>
          <w:color w:val="000000" w:themeColor="text1"/>
        </w:rPr>
        <w:t>Complexity, Endogenous Money and Macroeconomic Theory</w:t>
      </w:r>
      <w:r w:rsidRPr="00460E6A">
        <w:rPr>
          <w:rFonts w:cstheme="minorHAnsi"/>
          <w:noProof/>
          <w:color w:val="000000" w:themeColor="text1"/>
        </w:rPr>
        <w:t>,</w:t>
      </w:r>
      <w:r w:rsidRPr="00460E6A">
        <w:rPr>
          <w:rFonts w:cstheme="minorHAnsi"/>
          <w:i/>
          <w:noProof/>
          <w:color w:val="000000" w:themeColor="text1"/>
        </w:rPr>
        <w:t xml:space="preserve"> </w:t>
      </w:r>
      <w:r w:rsidRPr="00460E6A">
        <w:rPr>
          <w:rFonts w:cstheme="minorHAnsi"/>
          <w:noProof/>
          <w:color w:val="000000" w:themeColor="text1"/>
        </w:rPr>
        <w:t>202-220. Northampton: Edward Elgar.</w:t>
      </w:r>
    </w:p>
    <w:p w14:paraId="08ACE719" w14:textId="6C9FC5B4" w:rsidR="00017956" w:rsidRPr="00460E6A" w:rsidRDefault="00017956" w:rsidP="00460E6A">
      <w:pPr>
        <w:spacing w:before="120" w:after="0" w:line="240" w:lineRule="auto"/>
        <w:ind w:left="360" w:hanging="360"/>
        <w:rPr>
          <w:rFonts w:eastAsia="Times New Roman" w:cstheme="minorHAnsi"/>
          <w:noProof/>
          <w:color w:val="000000" w:themeColor="text1"/>
        </w:rPr>
      </w:pPr>
      <w:r w:rsidRPr="00460E6A">
        <w:rPr>
          <w:rFonts w:cstheme="minorHAnsi"/>
          <w:noProof/>
          <w:color w:val="000000" w:themeColor="text1"/>
        </w:rPr>
        <w:t>Fullwiler, S.T. (2006) “</w:t>
      </w:r>
      <w:r w:rsidRPr="00460E6A">
        <w:rPr>
          <w:rFonts w:eastAsia="Times New Roman" w:cstheme="minorHAnsi"/>
          <w:noProof/>
          <w:color w:val="000000" w:themeColor="text1"/>
        </w:rPr>
        <w:t xml:space="preserve">Interest rates and fiscal sustainability” Center for Full Employment and Price Stability, Working Paper No. 53. </w:t>
      </w:r>
    </w:p>
    <w:p w14:paraId="6C2A5B02" w14:textId="77777777" w:rsidR="00017956" w:rsidRPr="00460E6A" w:rsidRDefault="00017956" w:rsidP="00460E6A">
      <w:pPr>
        <w:spacing w:before="120" w:after="0" w:line="240" w:lineRule="auto"/>
        <w:ind w:left="360" w:hanging="360"/>
        <w:rPr>
          <w:rFonts w:eastAsia="Times New Roman" w:cstheme="minorHAnsi"/>
          <w:noProof/>
          <w:color w:val="000000" w:themeColor="text1"/>
        </w:rPr>
      </w:pPr>
      <w:r w:rsidRPr="00460E6A">
        <w:rPr>
          <w:rFonts w:cstheme="minorHAnsi"/>
          <w:noProof/>
          <w:color w:val="000000" w:themeColor="text1"/>
        </w:rPr>
        <w:t>_____.</w:t>
      </w:r>
      <w:r w:rsidRPr="00460E6A">
        <w:rPr>
          <w:rFonts w:eastAsia="Times New Roman" w:cstheme="minorHAnsi"/>
          <w:noProof/>
          <w:color w:val="000000" w:themeColor="text1"/>
        </w:rPr>
        <w:t xml:space="preserve"> (2013) “An endogenous money perspective on the post-crisis monetary policy debate” </w:t>
      </w:r>
      <w:r w:rsidRPr="00460E6A">
        <w:rPr>
          <w:rFonts w:eastAsia="Times New Roman" w:cstheme="minorHAnsi"/>
          <w:i/>
          <w:noProof/>
          <w:color w:val="000000" w:themeColor="text1"/>
        </w:rPr>
        <w:t>Review of Keynesian Economics</w:t>
      </w:r>
      <w:r w:rsidRPr="00460E6A">
        <w:rPr>
          <w:rFonts w:eastAsia="Times New Roman" w:cstheme="minorHAnsi"/>
          <w:noProof/>
          <w:color w:val="000000" w:themeColor="text1"/>
        </w:rPr>
        <w:t>, 1 (2): 171-194.</w:t>
      </w:r>
    </w:p>
    <w:p w14:paraId="2FF24D05" w14:textId="77777777" w:rsidR="00017956" w:rsidRPr="00460E6A" w:rsidRDefault="00017956" w:rsidP="00460E6A">
      <w:pPr>
        <w:autoSpaceDE w:val="0"/>
        <w:autoSpaceDN w:val="0"/>
        <w:adjustRightInd w:val="0"/>
        <w:spacing w:before="120" w:after="0" w:line="240" w:lineRule="auto"/>
        <w:ind w:left="360" w:hanging="360"/>
        <w:rPr>
          <w:rFonts w:cstheme="minorHAnsi"/>
          <w:noProof/>
          <w:color w:val="000000" w:themeColor="text1"/>
        </w:rPr>
      </w:pPr>
      <w:r w:rsidRPr="00460E6A">
        <w:rPr>
          <w:rFonts w:cstheme="minorHAnsi"/>
          <w:noProof/>
          <w:color w:val="000000" w:themeColor="text1"/>
        </w:rPr>
        <w:t xml:space="preserve">Gnos, C. and Rochon, L.P. (2002) “Money creation and the state: A critical assessment of Chartalism” </w:t>
      </w:r>
      <w:r w:rsidRPr="00460E6A">
        <w:rPr>
          <w:rFonts w:cstheme="minorHAnsi"/>
          <w:i/>
          <w:noProof/>
          <w:color w:val="000000" w:themeColor="text1"/>
        </w:rPr>
        <w:t>International Journal of Political Economy</w:t>
      </w:r>
      <w:r w:rsidRPr="00460E6A">
        <w:rPr>
          <w:rFonts w:cstheme="minorHAnsi"/>
          <w:noProof/>
          <w:color w:val="000000" w:themeColor="text1"/>
        </w:rPr>
        <w:t>, 32 (3): 41-57.</w:t>
      </w:r>
    </w:p>
    <w:p w14:paraId="7D8184DD" w14:textId="77777777" w:rsidR="00017956" w:rsidRPr="00460E6A" w:rsidRDefault="00017956" w:rsidP="00460E6A">
      <w:pPr>
        <w:spacing w:before="120" w:after="0" w:line="240" w:lineRule="auto"/>
        <w:ind w:left="360" w:hanging="360"/>
        <w:jc w:val="both"/>
        <w:rPr>
          <w:rFonts w:cstheme="minorHAnsi"/>
          <w:noProof/>
          <w:color w:val="000000" w:themeColor="text1"/>
        </w:rPr>
      </w:pPr>
      <w:r w:rsidRPr="00460E6A">
        <w:rPr>
          <w:rFonts w:cstheme="minorHAnsi"/>
          <w:noProof/>
          <w:color w:val="000000" w:themeColor="text1"/>
        </w:rPr>
        <w:t xml:space="preserve">Graeber, D. (2011) </w:t>
      </w:r>
      <w:r w:rsidRPr="00460E6A">
        <w:rPr>
          <w:rFonts w:cstheme="minorHAnsi"/>
          <w:i/>
          <w:noProof/>
          <w:color w:val="000000" w:themeColor="text1"/>
        </w:rPr>
        <w:t>Debt: The First 5000 Years</w:t>
      </w:r>
      <w:r w:rsidRPr="00460E6A">
        <w:rPr>
          <w:rFonts w:cstheme="minorHAnsi"/>
          <w:noProof/>
          <w:color w:val="000000" w:themeColor="text1"/>
        </w:rPr>
        <w:t>. Brooklyn: Melville House.</w:t>
      </w:r>
    </w:p>
    <w:p w14:paraId="7A929F0B" w14:textId="0C5631EF" w:rsidR="00017956" w:rsidRPr="00460E6A" w:rsidRDefault="00017956" w:rsidP="005113CD">
      <w:pPr>
        <w:spacing w:before="120" w:after="0" w:line="240" w:lineRule="auto"/>
        <w:ind w:left="360" w:hanging="360"/>
        <w:jc w:val="both"/>
        <w:rPr>
          <w:rFonts w:cstheme="minorHAnsi"/>
          <w:noProof/>
          <w:color w:val="000000" w:themeColor="text1"/>
        </w:rPr>
      </w:pPr>
      <w:r w:rsidRPr="00460E6A">
        <w:rPr>
          <w:rFonts w:cstheme="minorHAnsi"/>
          <w:noProof/>
          <w:color w:val="000000" w:themeColor="text1"/>
        </w:rPr>
        <w:t>Grierson, P</w:t>
      </w:r>
      <w:r w:rsidR="005113CD">
        <w:rPr>
          <w:rFonts w:cstheme="minorHAnsi"/>
          <w:noProof/>
          <w:color w:val="000000" w:themeColor="text1"/>
        </w:rPr>
        <w:t xml:space="preserve">. </w:t>
      </w:r>
      <w:r w:rsidRPr="00460E6A">
        <w:rPr>
          <w:rFonts w:cstheme="minorHAnsi"/>
          <w:noProof/>
          <w:color w:val="000000" w:themeColor="text1"/>
        </w:rPr>
        <w:t xml:space="preserve">(1977) </w:t>
      </w:r>
      <w:r w:rsidRPr="00460E6A">
        <w:rPr>
          <w:rFonts w:cstheme="minorHAnsi"/>
          <w:i/>
          <w:iCs/>
          <w:noProof/>
          <w:color w:val="000000" w:themeColor="text1"/>
        </w:rPr>
        <w:t>The Origins of Money</w:t>
      </w:r>
      <w:r w:rsidRPr="00460E6A">
        <w:rPr>
          <w:rFonts w:cstheme="minorHAnsi"/>
          <w:noProof/>
          <w:color w:val="000000" w:themeColor="text1"/>
        </w:rPr>
        <w:t xml:space="preserve">. London: Athlone Press. Reprinted in Dalton, G. (ed.), </w:t>
      </w:r>
      <w:r w:rsidRPr="00460E6A">
        <w:rPr>
          <w:rFonts w:cstheme="minorHAnsi"/>
          <w:i/>
          <w:iCs/>
          <w:noProof/>
          <w:color w:val="000000" w:themeColor="text1"/>
        </w:rPr>
        <w:t>Research in Economic Anthropology</w:t>
      </w:r>
      <w:r w:rsidRPr="00460E6A">
        <w:rPr>
          <w:rFonts w:cstheme="minorHAnsi"/>
          <w:noProof/>
          <w:color w:val="000000" w:themeColor="text1"/>
        </w:rPr>
        <w:t xml:space="preserve">, vol. 1, 1-35. Greenwich: JAI Press Inc. 1978. </w:t>
      </w:r>
    </w:p>
    <w:p w14:paraId="65EC7363" w14:textId="77777777" w:rsidR="00017956" w:rsidRPr="00460E6A" w:rsidRDefault="00017956" w:rsidP="00460E6A">
      <w:pPr>
        <w:autoSpaceDE w:val="0"/>
        <w:autoSpaceDN w:val="0"/>
        <w:adjustRightInd w:val="0"/>
        <w:spacing w:before="120" w:after="0" w:line="240" w:lineRule="auto"/>
        <w:ind w:left="360" w:hanging="360"/>
        <w:rPr>
          <w:rFonts w:cstheme="minorHAnsi"/>
          <w:noProof/>
          <w:color w:val="000000" w:themeColor="text1"/>
        </w:rPr>
      </w:pPr>
      <w:r w:rsidRPr="00460E6A">
        <w:rPr>
          <w:rFonts w:cstheme="minorHAnsi"/>
          <w:noProof/>
          <w:color w:val="000000" w:themeColor="text1"/>
        </w:rPr>
        <w:t xml:space="preserve">_____. (1979) </w:t>
      </w:r>
      <w:r w:rsidRPr="00460E6A">
        <w:rPr>
          <w:rFonts w:cstheme="minorHAnsi"/>
          <w:i/>
          <w:iCs/>
          <w:noProof/>
          <w:color w:val="000000" w:themeColor="text1"/>
        </w:rPr>
        <w:t>Dark Age Numismatics.</w:t>
      </w:r>
      <w:r w:rsidRPr="00460E6A">
        <w:rPr>
          <w:rFonts w:cstheme="minorHAnsi"/>
          <w:noProof/>
          <w:color w:val="000000" w:themeColor="text1"/>
        </w:rPr>
        <w:t xml:space="preserve"> London: Variorum Reprints.</w:t>
      </w:r>
    </w:p>
    <w:p w14:paraId="3B1389B0" w14:textId="77777777" w:rsidR="00017956" w:rsidRPr="00460E6A" w:rsidRDefault="00017956" w:rsidP="00460E6A">
      <w:pPr>
        <w:autoSpaceDE w:val="0"/>
        <w:autoSpaceDN w:val="0"/>
        <w:adjustRightInd w:val="0"/>
        <w:spacing w:before="120" w:after="0" w:line="240" w:lineRule="auto"/>
        <w:ind w:left="360" w:hanging="360"/>
        <w:rPr>
          <w:rFonts w:cstheme="minorHAnsi"/>
          <w:noProof/>
          <w:color w:val="000000" w:themeColor="text1"/>
        </w:rPr>
      </w:pPr>
      <w:r w:rsidRPr="00460E6A">
        <w:rPr>
          <w:rFonts w:cstheme="minorHAnsi"/>
          <w:noProof/>
          <w:color w:val="000000" w:themeColor="text1"/>
        </w:rPr>
        <w:t xml:space="preserve">Grubb, F. (2008) “Money supply in the American colonies” in Palgrave Macmillan (ed.) </w:t>
      </w:r>
      <w:r w:rsidRPr="00460E6A">
        <w:rPr>
          <w:rFonts w:cstheme="minorHAnsi"/>
          <w:i/>
          <w:noProof/>
          <w:color w:val="000000" w:themeColor="text1"/>
        </w:rPr>
        <w:t>The New Palgrave Dictionary of Economics</w:t>
      </w:r>
      <w:r w:rsidRPr="00460E6A">
        <w:rPr>
          <w:rFonts w:cstheme="minorHAnsi"/>
          <w:noProof/>
          <w:color w:val="000000" w:themeColor="text1"/>
        </w:rPr>
        <w:t>, 2</w:t>
      </w:r>
      <w:r w:rsidRPr="00460E6A">
        <w:rPr>
          <w:rFonts w:cstheme="minorHAnsi"/>
          <w:noProof/>
          <w:color w:val="000000" w:themeColor="text1"/>
          <w:vertAlign w:val="superscript"/>
        </w:rPr>
        <w:t>nd</w:t>
      </w:r>
      <w:r w:rsidRPr="00460E6A">
        <w:rPr>
          <w:rFonts w:cstheme="minorHAnsi"/>
          <w:noProof/>
          <w:color w:val="000000" w:themeColor="text1"/>
        </w:rPr>
        <w:t xml:space="preserve"> ed. London: Palgrave Macmillan.</w:t>
      </w:r>
    </w:p>
    <w:p w14:paraId="7795EDEA" w14:textId="77777777" w:rsidR="00017956" w:rsidRPr="00460E6A" w:rsidRDefault="00017956" w:rsidP="00460E6A">
      <w:pPr>
        <w:spacing w:before="120" w:after="0" w:line="240" w:lineRule="auto"/>
        <w:ind w:left="360" w:hanging="360"/>
        <w:jc w:val="both"/>
        <w:rPr>
          <w:rFonts w:cstheme="minorHAnsi"/>
          <w:noProof/>
          <w:color w:val="000000" w:themeColor="text1"/>
        </w:rPr>
      </w:pPr>
      <w:r w:rsidRPr="00460E6A">
        <w:rPr>
          <w:rFonts w:cstheme="minorHAnsi"/>
          <w:noProof/>
          <w:color w:val="000000" w:themeColor="text1"/>
        </w:rPr>
        <w:t xml:space="preserve">Hawtrey, R. (1919) </w:t>
      </w:r>
      <w:r w:rsidRPr="00460E6A">
        <w:rPr>
          <w:rFonts w:cstheme="minorHAnsi"/>
          <w:i/>
          <w:noProof/>
          <w:color w:val="000000" w:themeColor="text1"/>
        </w:rPr>
        <w:t>Currency and Credit</w:t>
      </w:r>
      <w:r w:rsidRPr="00460E6A">
        <w:rPr>
          <w:rFonts w:cstheme="minorHAnsi"/>
          <w:noProof/>
          <w:color w:val="000000" w:themeColor="text1"/>
        </w:rPr>
        <w:t>. New York: Longmans, Green and Co.</w:t>
      </w:r>
    </w:p>
    <w:p w14:paraId="4DD52710" w14:textId="77777777" w:rsidR="00017956" w:rsidRPr="00460E6A" w:rsidRDefault="00017956" w:rsidP="00460E6A">
      <w:pPr>
        <w:autoSpaceDE w:val="0"/>
        <w:autoSpaceDN w:val="0"/>
        <w:adjustRightInd w:val="0"/>
        <w:spacing w:before="120" w:after="0" w:line="240" w:lineRule="auto"/>
        <w:ind w:left="360" w:hanging="360"/>
        <w:rPr>
          <w:rFonts w:cstheme="minorHAnsi"/>
          <w:noProof/>
          <w:color w:val="000000" w:themeColor="text1"/>
        </w:rPr>
      </w:pPr>
      <w:r w:rsidRPr="00460E6A">
        <w:rPr>
          <w:rFonts w:cstheme="minorHAnsi"/>
          <w:noProof/>
          <w:color w:val="000000" w:themeColor="text1"/>
        </w:rPr>
        <w:t xml:space="preserve">Hellferich, K. (1927) </w:t>
      </w:r>
      <w:r w:rsidRPr="00460E6A">
        <w:rPr>
          <w:rFonts w:cstheme="minorHAnsi"/>
          <w:i/>
          <w:noProof/>
          <w:color w:val="000000" w:themeColor="text1"/>
        </w:rPr>
        <w:t>Money</w:t>
      </w:r>
      <w:r w:rsidRPr="00460E6A">
        <w:rPr>
          <w:rFonts w:cstheme="minorHAnsi"/>
          <w:noProof/>
          <w:color w:val="000000" w:themeColor="text1"/>
        </w:rPr>
        <w:t>. New York: Augustus M. Kelley, 1969.</w:t>
      </w:r>
    </w:p>
    <w:p w14:paraId="054870CD" w14:textId="77777777" w:rsidR="00017956" w:rsidRPr="00460E6A" w:rsidRDefault="00017956" w:rsidP="00460E6A">
      <w:pPr>
        <w:autoSpaceDE w:val="0"/>
        <w:autoSpaceDN w:val="0"/>
        <w:adjustRightInd w:val="0"/>
        <w:spacing w:before="120" w:after="0" w:line="240" w:lineRule="auto"/>
        <w:ind w:left="360" w:hanging="360"/>
        <w:rPr>
          <w:rFonts w:cstheme="minorHAnsi"/>
          <w:noProof/>
          <w:color w:val="000000" w:themeColor="text1"/>
        </w:rPr>
      </w:pPr>
      <w:r w:rsidRPr="00460E6A">
        <w:rPr>
          <w:rFonts w:cstheme="minorHAnsi"/>
          <w:noProof/>
          <w:color w:val="000000" w:themeColor="text1"/>
        </w:rPr>
        <w:t xml:space="preserve">Henry, J.F. (2004) “The social origins of money: The case of Egypt” in Wray, L.R. (ed.) </w:t>
      </w:r>
      <w:r w:rsidRPr="00460E6A">
        <w:rPr>
          <w:rFonts w:cstheme="minorHAnsi"/>
          <w:i/>
          <w:iCs/>
          <w:noProof/>
          <w:color w:val="000000" w:themeColor="text1"/>
        </w:rPr>
        <w:t>Credit and State Theories of Money</w:t>
      </w:r>
      <w:r w:rsidRPr="00460E6A">
        <w:rPr>
          <w:rFonts w:cstheme="minorHAnsi"/>
          <w:iCs/>
          <w:noProof/>
          <w:color w:val="000000" w:themeColor="text1"/>
        </w:rPr>
        <w:t>, 79-98</w:t>
      </w:r>
      <w:r w:rsidRPr="00460E6A">
        <w:rPr>
          <w:rFonts w:cstheme="minorHAnsi"/>
          <w:noProof/>
          <w:color w:val="000000" w:themeColor="text1"/>
        </w:rPr>
        <w:t>. Northampton: Edward Elgar.</w:t>
      </w:r>
    </w:p>
    <w:p w14:paraId="5C35A463" w14:textId="77777777" w:rsidR="000C0B0A" w:rsidRPr="00460E6A" w:rsidRDefault="000C0B0A" w:rsidP="00460E6A">
      <w:pPr>
        <w:spacing w:before="120" w:after="0" w:line="240" w:lineRule="auto"/>
        <w:ind w:left="360" w:hanging="360"/>
        <w:jc w:val="both"/>
        <w:rPr>
          <w:rFonts w:cstheme="minorHAnsi"/>
          <w:color w:val="000000" w:themeColor="text1"/>
        </w:rPr>
      </w:pPr>
      <w:r w:rsidRPr="00460E6A">
        <w:rPr>
          <w:rFonts w:cstheme="minorHAnsi"/>
          <w:color w:val="000000" w:themeColor="text1"/>
        </w:rPr>
        <w:t xml:space="preserve">Henwood, D. (2019) “Modern Monetary Theory isn’t helping” </w:t>
      </w:r>
      <w:r w:rsidRPr="00460E6A">
        <w:rPr>
          <w:rFonts w:cstheme="minorHAnsi"/>
          <w:i/>
          <w:color w:val="000000" w:themeColor="text1"/>
        </w:rPr>
        <w:t>Jacobin</w:t>
      </w:r>
      <w:r w:rsidRPr="00460E6A">
        <w:rPr>
          <w:rFonts w:cstheme="minorHAnsi"/>
          <w:color w:val="000000" w:themeColor="text1"/>
        </w:rPr>
        <w:t xml:space="preserve">, February. Accessed on September 18, 2021 at </w:t>
      </w:r>
      <w:hyperlink r:id="rId7" w:history="1">
        <w:r w:rsidRPr="00460E6A">
          <w:rPr>
            <w:rStyle w:val="Hyperlink"/>
            <w:rFonts w:cstheme="minorHAnsi"/>
            <w:color w:val="000000" w:themeColor="text1"/>
          </w:rPr>
          <w:t>https://www.jacobinmag.com/2019/02/modern-monetary-theory-isnt-helping</w:t>
        </w:r>
      </w:hyperlink>
      <w:r w:rsidRPr="00460E6A">
        <w:rPr>
          <w:rFonts w:cstheme="minorHAnsi"/>
          <w:color w:val="000000" w:themeColor="text1"/>
        </w:rPr>
        <w:t xml:space="preserve"> </w:t>
      </w:r>
    </w:p>
    <w:p w14:paraId="46D89229" w14:textId="33A7BD41" w:rsidR="005113CD" w:rsidRDefault="00017956" w:rsidP="00460E6A">
      <w:pPr>
        <w:spacing w:before="120" w:after="0" w:line="240" w:lineRule="auto"/>
        <w:ind w:left="360" w:hanging="360"/>
        <w:jc w:val="both"/>
        <w:rPr>
          <w:rFonts w:cstheme="minorHAnsi"/>
          <w:noProof/>
          <w:color w:val="000000" w:themeColor="text1"/>
        </w:rPr>
      </w:pPr>
      <w:r w:rsidRPr="00460E6A">
        <w:rPr>
          <w:rFonts w:cstheme="minorHAnsi"/>
          <w:noProof/>
          <w:color w:val="000000" w:themeColor="text1"/>
        </w:rPr>
        <w:t>Hudson, M. and Wunsch, C.</w:t>
      </w:r>
      <w:r w:rsidR="005113CD">
        <w:rPr>
          <w:rFonts w:cstheme="minorHAnsi"/>
          <w:noProof/>
          <w:color w:val="000000" w:themeColor="text1"/>
        </w:rPr>
        <w:t xml:space="preserve"> (2000) </w:t>
      </w:r>
      <w:r w:rsidR="005113CD" w:rsidRPr="00E62598">
        <w:rPr>
          <w:rFonts w:cstheme="minorHAnsi"/>
          <w:i/>
          <w:noProof/>
          <w:color w:val="000000" w:themeColor="text1"/>
        </w:rPr>
        <w:t>Debt and Economic Renewal in the Ancient Near East</w:t>
      </w:r>
      <w:r w:rsidR="00E62598">
        <w:rPr>
          <w:rFonts w:cstheme="minorHAnsi"/>
          <w:noProof/>
          <w:color w:val="000000" w:themeColor="text1"/>
        </w:rPr>
        <w:t>.</w:t>
      </w:r>
      <w:r w:rsidR="005113CD" w:rsidRPr="005113CD">
        <w:rPr>
          <w:rFonts w:cstheme="minorHAnsi"/>
          <w:noProof/>
          <w:color w:val="000000" w:themeColor="text1"/>
        </w:rPr>
        <w:t xml:space="preserve"> Bethesda, MD: CDL Press.</w:t>
      </w:r>
    </w:p>
    <w:p w14:paraId="471C0FBC" w14:textId="332AD665" w:rsidR="00017956" w:rsidRPr="00460E6A" w:rsidRDefault="005113CD" w:rsidP="00460E6A">
      <w:pPr>
        <w:spacing w:before="120" w:after="0" w:line="240" w:lineRule="auto"/>
        <w:ind w:left="360" w:hanging="360"/>
        <w:jc w:val="both"/>
        <w:rPr>
          <w:rFonts w:cstheme="minorHAnsi"/>
          <w:noProof/>
          <w:color w:val="000000" w:themeColor="text1"/>
        </w:rPr>
      </w:pPr>
      <w:r w:rsidRPr="00460E6A">
        <w:rPr>
          <w:rFonts w:cstheme="minorHAnsi"/>
          <w:noProof/>
          <w:color w:val="000000" w:themeColor="text1"/>
        </w:rPr>
        <w:t xml:space="preserve">_____. </w:t>
      </w:r>
      <w:r w:rsidR="00017956" w:rsidRPr="00460E6A">
        <w:rPr>
          <w:rFonts w:cstheme="minorHAnsi"/>
          <w:noProof/>
          <w:color w:val="000000" w:themeColor="text1"/>
        </w:rPr>
        <w:t xml:space="preserve">(2004) </w:t>
      </w:r>
      <w:r w:rsidR="00017956" w:rsidRPr="00460E6A">
        <w:rPr>
          <w:rFonts w:cstheme="minorHAnsi"/>
          <w:i/>
          <w:iCs/>
          <w:noProof/>
          <w:color w:val="000000" w:themeColor="text1"/>
        </w:rPr>
        <w:t>Creating Economic Order</w:t>
      </w:r>
      <w:r w:rsidR="00017956" w:rsidRPr="00460E6A">
        <w:rPr>
          <w:rFonts w:cstheme="minorHAnsi"/>
          <w:noProof/>
          <w:color w:val="000000" w:themeColor="text1"/>
        </w:rPr>
        <w:t>. Bethesda: CDL Press.</w:t>
      </w:r>
    </w:p>
    <w:p w14:paraId="1A948008" w14:textId="77777777" w:rsidR="00017956" w:rsidRPr="00460E6A" w:rsidRDefault="00017956" w:rsidP="00460E6A">
      <w:pPr>
        <w:autoSpaceDE w:val="0"/>
        <w:autoSpaceDN w:val="0"/>
        <w:adjustRightInd w:val="0"/>
        <w:spacing w:before="120" w:after="0" w:line="240" w:lineRule="auto"/>
        <w:ind w:left="360" w:hanging="360"/>
        <w:rPr>
          <w:rFonts w:cstheme="minorHAnsi"/>
          <w:noProof/>
          <w:color w:val="000000" w:themeColor="text1"/>
        </w:rPr>
      </w:pPr>
      <w:r w:rsidRPr="00460E6A">
        <w:rPr>
          <w:rFonts w:cstheme="minorHAnsi"/>
          <w:noProof/>
          <w:color w:val="000000" w:themeColor="text1"/>
        </w:rPr>
        <w:t xml:space="preserve">Humphrey, C. (1985) “Barter and economic disintegration” </w:t>
      </w:r>
      <w:r w:rsidRPr="00460E6A">
        <w:rPr>
          <w:rFonts w:cstheme="minorHAnsi"/>
          <w:i/>
          <w:noProof/>
          <w:color w:val="000000" w:themeColor="text1"/>
        </w:rPr>
        <w:t>Man</w:t>
      </w:r>
      <w:r w:rsidRPr="00460E6A">
        <w:rPr>
          <w:rFonts w:cstheme="minorHAnsi"/>
          <w:noProof/>
          <w:color w:val="000000" w:themeColor="text1"/>
        </w:rPr>
        <w:t>, New Series, 20 (1): 48-72.</w:t>
      </w:r>
    </w:p>
    <w:p w14:paraId="4E00797D" w14:textId="77777777" w:rsidR="00017956" w:rsidRPr="00460E6A" w:rsidRDefault="00017956" w:rsidP="00460E6A">
      <w:pPr>
        <w:autoSpaceDE w:val="0"/>
        <w:autoSpaceDN w:val="0"/>
        <w:adjustRightInd w:val="0"/>
        <w:spacing w:before="120" w:after="0" w:line="240" w:lineRule="auto"/>
        <w:ind w:left="360" w:hanging="360"/>
        <w:jc w:val="both"/>
        <w:rPr>
          <w:rFonts w:cstheme="minorHAnsi"/>
          <w:bCs/>
          <w:noProof/>
          <w:color w:val="000000" w:themeColor="text1"/>
        </w:rPr>
      </w:pPr>
      <w:r w:rsidRPr="00460E6A">
        <w:rPr>
          <w:rFonts w:cstheme="minorHAnsi"/>
          <w:noProof/>
          <w:color w:val="000000" w:themeColor="text1"/>
        </w:rPr>
        <w:t xml:space="preserve">Ingham, </w:t>
      </w:r>
      <w:r w:rsidRPr="00460E6A">
        <w:rPr>
          <w:rFonts w:cstheme="minorHAnsi"/>
          <w:bCs/>
          <w:noProof/>
          <w:color w:val="000000" w:themeColor="text1"/>
        </w:rPr>
        <w:t xml:space="preserve">G. (2000) “Babylonian madness: On the historical and sociological origins of money” in Smithin, J. (ed.) </w:t>
      </w:r>
      <w:r w:rsidRPr="00460E6A">
        <w:rPr>
          <w:rFonts w:cstheme="minorHAnsi"/>
          <w:bCs/>
          <w:i/>
          <w:noProof/>
          <w:color w:val="000000" w:themeColor="text1"/>
        </w:rPr>
        <w:t>What Is Money?</w:t>
      </w:r>
      <w:r w:rsidRPr="00460E6A">
        <w:rPr>
          <w:rFonts w:cstheme="minorHAnsi"/>
          <w:bCs/>
          <w:noProof/>
          <w:color w:val="000000" w:themeColor="text1"/>
        </w:rPr>
        <w:t>, 16-41.</w:t>
      </w:r>
      <w:r w:rsidRPr="00460E6A">
        <w:rPr>
          <w:rFonts w:cstheme="minorHAnsi"/>
          <w:bCs/>
          <w:i/>
          <w:noProof/>
          <w:color w:val="000000" w:themeColor="text1"/>
        </w:rPr>
        <w:t xml:space="preserve"> </w:t>
      </w:r>
      <w:r w:rsidRPr="00460E6A">
        <w:rPr>
          <w:rFonts w:cstheme="minorHAnsi"/>
          <w:bCs/>
          <w:noProof/>
          <w:color w:val="000000" w:themeColor="text1"/>
        </w:rPr>
        <w:t>New York: Routledge.</w:t>
      </w:r>
    </w:p>
    <w:p w14:paraId="03418E4D" w14:textId="77777777" w:rsidR="00017956" w:rsidRPr="00460E6A" w:rsidRDefault="00017956" w:rsidP="00460E6A">
      <w:pPr>
        <w:spacing w:before="120" w:after="0" w:line="240" w:lineRule="auto"/>
        <w:ind w:left="360" w:hanging="360"/>
        <w:jc w:val="both"/>
        <w:rPr>
          <w:rFonts w:cstheme="minorHAnsi"/>
          <w:noProof/>
          <w:color w:val="000000" w:themeColor="text1"/>
        </w:rPr>
      </w:pPr>
      <w:r w:rsidRPr="00460E6A">
        <w:rPr>
          <w:rFonts w:cstheme="minorHAnsi"/>
          <w:noProof/>
          <w:color w:val="000000" w:themeColor="text1"/>
        </w:rPr>
        <w:t xml:space="preserve">_____. (2004) </w:t>
      </w:r>
      <w:r w:rsidRPr="00460E6A">
        <w:rPr>
          <w:rFonts w:cstheme="minorHAnsi"/>
          <w:i/>
          <w:noProof/>
          <w:color w:val="000000" w:themeColor="text1"/>
        </w:rPr>
        <w:t>The Nature of Money</w:t>
      </w:r>
      <w:r w:rsidRPr="00460E6A">
        <w:rPr>
          <w:rFonts w:cstheme="minorHAnsi"/>
          <w:noProof/>
          <w:color w:val="000000" w:themeColor="text1"/>
        </w:rPr>
        <w:t>. Cambridge: Polity Press.</w:t>
      </w:r>
    </w:p>
    <w:p w14:paraId="04FCC3F1" w14:textId="77777777" w:rsidR="00017956" w:rsidRPr="00460E6A" w:rsidRDefault="00017956" w:rsidP="00460E6A">
      <w:pPr>
        <w:spacing w:before="120" w:after="0" w:line="240" w:lineRule="auto"/>
        <w:ind w:left="360" w:hanging="360"/>
        <w:rPr>
          <w:rFonts w:cstheme="minorHAnsi"/>
          <w:noProof/>
          <w:color w:val="000000" w:themeColor="text1"/>
        </w:rPr>
      </w:pPr>
      <w:r w:rsidRPr="00460E6A">
        <w:rPr>
          <w:rFonts w:cstheme="minorHAnsi"/>
          <w:noProof/>
          <w:color w:val="000000" w:themeColor="text1"/>
        </w:rPr>
        <w:lastRenderedPageBreak/>
        <w:t xml:space="preserve">Innes, A.M. (1913) “What is money?” </w:t>
      </w:r>
      <w:r w:rsidRPr="00460E6A">
        <w:rPr>
          <w:rFonts w:cstheme="minorHAnsi"/>
          <w:i/>
          <w:iCs/>
          <w:noProof/>
          <w:color w:val="000000" w:themeColor="text1"/>
        </w:rPr>
        <w:t>Banking Law Journal</w:t>
      </w:r>
      <w:r w:rsidRPr="00460E6A">
        <w:rPr>
          <w:rFonts w:cstheme="minorHAnsi"/>
          <w:iCs/>
          <w:noProof/>
          <w:color w:val="000000" w:themeColor="text1"/>
        </w:rPr>
        <w:t>,</w:t>
      </w:r>
      <w:r w:rsidRPr="00460E6A">
        <w:rPr>
          <w:rFonts w:cstheme="minorHAnsi"/>
          <w:noProof/>
          <w:color w:val="000000" w:themeColor="text1"/>
        </w:rPr>
        <w:t xml:space="preserve"> 30 (5): 377-408. Reprinted in Wray, L.R. (ed.) </w:t>
      </w:r>
      <w:r w:rsidRPr="00460E6A">
        <w:rPr>
          <w:rFonts w:cstheme="minorHAnsi"/>
          <w:i/>
          <w:iCs/>
          <w:noProof/>
          <w:color w:val="000000" w:themeColor="text1"/>
        </w:rPr>
        <w:t>Credit and State Theories of Money</w:t>
      </w:r>
      <w:r w:rsidRPr="00460E6A">
        <w:rPr>
          <w:rFonts w:cstheme="minorHAnsi"/>
          <w:iCs/>
          <w:noProof/>
          <w:color w:val="000000" w:themeColor="text1"/>
        </w:rPr>
        <w:t>, 14-49</w:t>
      </w:r>
      <w:r w:rsidRPr="00460E6A">
        <w:rPr>
          <w:rFonts w:cstheme="minorHAnsi"/>
          <w:noProof/>
          <w:color w:val="000000" w:themeColor="text1"/>
        </w:rPr>
        <w:t>. Northampton: Edward Elgar. 2004.</w:t>
      </w:r>
    </w:p>
    <w:p w14:paraId="6FF5AF38" w14:textId="77777777" w:rsidR="00017956" w:rsidRPr="00460E6A" w:rsidRDefault="00017956" w:rsidP="00460E6A">
      <w:pPr>
        <w:spacing w:before="120" w:after="0" w:line="240" w:lineRule="auto"/>
        <w:ind w:left="360" w:hanging="360"/>
        <w:rPr>
          <w:rFonts w:cstheme="minorHAnsi"/>
          <w:noProof/>
          <w:color w:val="000000" w:themeColor="text1"/>
        </w:rPr>
      </w:pPr>
      <w:r w:rsidRPr="00460E6A">
        <w:rPr>
          <w:rFonts w:cstheme="minorHAnsi"/>
          <w:noProof/>
          <w:color w:val="000000" w:themeColor="text1"/>
        </w:rPr>
        <w:t xml:space="preserve">_____. (1914) “The credit theory of money” </w:t>
      </w:r>
      <w:r w:rsidRPr="00460E6A">
        <w:rPr>
          <w:rFonts w:cstheme="minorHAnsi"/>
          <w:i/>
          <w:noProof/>
          <w:color w:val="000000" w:themeColor="text1"/>
        </w:rPr>
        <w:t>Banking Law Journal</w:t>
      </w:r>
      <w:r w:rsidRPr="00460E6A">
        <w:rPr>
          <w:rFonts w:cstheme="minorHAnsi"/>
          <w:noProof/>
          <w:color w:val="000000" w:themeColor="text1"/>
        </w:rPr>
        <w:t xml:space="preserve">, 31 (2): 151-168. Reprinted in Wray, L.R. (ed.) </w:t>
      </w:r>
      <w:r w:rsidRPr="00460E6A">
        <w:rPr>
          <w:rFonts w:cstheme="minorHAnsi"/>
          <w:i/>
          <w:iCs/>
          <w:noProof/>
          <w:color w:val="000000" w:themeColor="text1"/>
        </w:rPr>
        <w:t>Credit and State Theories of Money</w:t>
      </w:r>
      <w:r w:rsidRPr="00460E6A">
        <w:rPr>
          <w:rFonts w:cstheme="minorHAnsi"/>
          <w:noProof/>
          <w:color w:val="000000" w:themeColor="text1"/>
        </w:rPr>
        <w:t>, 50-78. Northampton: Edward Elgar. 2004.</w:t>
      </w:r>
    </w:p>
    <w:p w14:paraId="3F4FF0CB" w14:textId="77777777" w:rsidR="00017956" w:rsidRPr="00460E6A" w:rsidRDefault="00017956" w:rsidP="00460E6A">
      <w:pPr>
        <w:autoSpaceDE w:val="0"/>
        <w:autoSpaceDN w:val="0"/>
        <w:adjustRightInd w:val="0"/>
        <w:spacing w:before="120" w:after="0" w:line="240" w:lineRule="auto"/>
        <w:ind w:left="360" w:hanging="360"/>
        <w:rPr>
          <w:rFonts w:cstheme="minorHAnsi"/>
          <w:noProof/>
          <w:color w:val="000000" w:themeColor="text1"/>
        </w:rPr>
      </w:pPr>
      <w:r w:rsidRPr="00460E6A">
        <w:rPr>
          <w:rFonts w:cstheme="minorHAnsi"/>
          <w:noProof/>
          <w:color w:val="000000" w:themeColor="text1"/>
        </w:rPr>
        <w:t xml:space="preserve">_____. (1932) </w:t>
      </w:r>
      <w:r w:rsidRPr="00460E6A">
        <w:rPr>
          <w:rFonts w:cstheme="minorHAnsi"/>
          <w:i/>
          <w:noProof/>
          <w:color w:val="000000" w:themeColor="text1"/>
        </w:rPr>
        <w:t>Martyrdom in our Times</w:t>
      </w:r>
      <w:r w:rsidRPr="00460E6A">
        <w:rPr>
          <w:rFonts w:cstheme="minorHAnsi"/>
          <w:noProof/>
          <w:color w:val="000000" w:themeColor="text1"/>
        </w:rPr>
        <w:t>. London : Williams &amp; Norgate.</w:t>
      </w:r>
    </w:p>
    <w:p w14:paraId="78D5773B" w14:textId="77777777" w:rsidR="00CC1DAA" w:rsidRPr="00460E6A" w:rsidRDefault="00CC1DAA" w:rsidP="00460E6A">
      <w:pPr>
        <w:spacing w:before="120" w:after="0" w:line="240" w:lineRule="auto"/>
        <w:ind w:left="360" w:hanging="360"/>
        <w:rPr>
          <w:rStyle w:val="Hyperlink"/>
          <w:rFonts w:eastAsia="Calibri" w:cstheme="minorHAnsi"/>
          <w:noProof/>
          <w:color w:val="000000" w:themeColor="text1"/>
        </w:rPr>
      </w:pPr>
      <w:r w:rsidRPr="00460E6A">
        <w:rPr>
          <w:rFonts w:eastAsia="Calibri" w:cstheme="minorHAnsi"/>
          <w:noProof/>
          <w:color w:val="000000" w:themeColor="text1"/>
        </w:rPr>
        <w:t xml:space="preserve">Kaboub, F. and Aliriza, F. (2019) “Modern Monetary Theory: A tool for the Global South?” Interview at the Rosa Luxemburg Foundation. Accessed July 16, 2021 at </w:t>
      </w:r>
      <w:hyperlink r:id="rId8" w:history="1">
        <w:r w:rsidRPr="00460E6A">
          <w:rPr>
            <w:rStyle w:val="Hyperlink"/>
            <w:rFonts w:eastAsia="Calibri" w:cstheme="minorHAnsi"/>
            <w:noProof/>
            <w:color w:val="000000" w:themeColor="text1"/>
          </w:rPr>
          <w:t>https://www.rosalux.de/en/publication/id/41284/modern-monetary-theory-a-tool-for-the-global-south/</w:t>
        </w:r>
      </w:hyperlink>
    </w:p>
    <w:p w14:paraId="304C0A52" w14:textId="77777777" w:rsidR="00017956" w:rsidRPr="00460E6A" w:rsidRDefault="00017956" w:rsidP="00460E6A">
      <w:pPr>
        <w:autoSpaceDE w:val="0"/>
        <w:autoSpaceDN w:val="0"/>
        <w:adjustRightInd w:val="0"/>
        <w:spacing w:before="120" w:after="0" w:line="240" w:lineRule="auto"/>
        <w:ind w:left="360" w:hanging="360"/>
        <w:rPr>
          <w:rFonts w:cstheme="minorHAnsi"/>
          <w:noProof/>
          <w:color w:val="000000" w:themeColor="text1"/>
        </w:rPr>
      </w:pPr>
      <w:r w:rsidRPr="00460E6A">
        <w:rPr>
          <w:rFonts w:cstheme="minorHAnsi"/>
          <w:noProof/>
          <w:color w:val="000000" w:themeColor="text1"/>
        </w:rPr>
        <w:t xml:space="preserve">Katsari C. (2011) </w:t>
      </w:r>
      <w:r w:rsidRPr="00460E6A">
        <w:rPr>
          <w:rFonts w:cstheme="minorHAnsi"/>
          <w:i/>
          <w:noProof/>
          <w:color w:val="000000" w:themeColor="text1"/>
        </w:rPr>
        <w:t>The Roman Monetary System: The Eastern Provinces from the First to the Third Century AD</w:t>
      </w:r>
      <w:r w:rsidRPr="00460E6A">
        <w:rPr>
          <w:rFonts w:cstheme="minorHAnsi"/>
          <w:noProof/>
          <w:color w:val="000000" w:themeColor="text1"/>
        </w:rPr>
        <w:t>. New York: Cambridge University Press.</w:t>
      </w:r>
    </w:p>
    <w:p w14:paraId="7034B73D" w14:textId="77777777" w:rsidR="00017956" w:rsidRPr="00460E6A" w:rsidRDefault="00017956" w:rsidP="00460E6A">
      <w:pPr>
        <w:autoSpaceDE w:val="0"/>
        <w:autoSpaceDN w:val="0"/>
        <w:adjustRightInd w:val="0"/>
        <w:spacing w:before="120" w:after="0" w:line="240" w:lineRule="auto"/>
        <w:ind w:left="360" w:hanging="360"/>
        <w:rPr>
          <w:rFonts w:cstheme="minorHAnsi"/>
          <w:noProof/>
          <w:color w:val="000000" w:themeColor="text1"/>
        </w:rPr>
      </w:pPr>
      <w:r w:rsidRPr="00460E6A">
        <w:rPr>
          <w:rFonts w:cstheme="minorHAnsi"/>
          <w:noProof/>
          <w:color w:val="000000" w:themeColor="text1"/>
        </w:rPr>
        <w:t xml:space="preserve">Keynes, J.M. (1936) </w:t>
      </w:r>
      <w:r w:rsidRPr="00460E6A">
        <w:rPr>
          <w:rFonts w:cstheme="minorHAnsi"/>
          <w:i/>
          <w:noProof/>
          <w:color w:val="000000" w:themeColor="text1"/>
        </w:rPr>
        <w:t>The General Theory of Employment, Interest and Money</w:t>
      </w:r>
      <w:r w:rsidRPr="00460E6A">
        <w:rPr>
          <w:rFonts w:cstheme="minorHAnsi"/>
          <w:noProof/>
          <w:color w:val="000000" w:themeColor="text1"/>
        </w:rPr>
        <w:t xml:space="preserve">. London: Macmillan. </w:t>
      </w:r>
    </w:p>
    <w:p w14:paraId="31669BFE" w14:textId="77777777" w:rsidR="00236CF1" w:rsidRPr="00460E6A" w:rsidRDefault="00236CF1" w:rsidP="00460E6A">
      <w:pPr>
        <w:autoSpaceDE w:val="0"/>
        <w:autoSpaceDN w:val="0"/>
        <w:adjustRightInd w:val="0"/>
        <w:spacing w:before="120" w:after="0" w:line="240" w:lineRule="auto"/>
        <w:ind w:left="360" w:hanging="360"/>
        <w:rPr>
          <w:rFonts w:cstheme="minorHAnsi"/>
          <w:noProof/>
          <w:color w:val="000000" w:themeColor="text1"/>
        </w:rPr>
      </w:pPr>
      <w:r w:rsidRPr="00460E6A">
        <w:rPr>
          <w:rFonts w:cstheme="minorHAnsi"/>
          <w:noProof/>
          <w:color w:val="000000" w:themeColor="text1"/>
        </w:rPr>
        <w:t xml:space="preserve">Klein, P.G. and Selgin, G. (2000) “Menger’s theory of money: some experimental evidence” in Smithin, J. (ed.) </w:t>
      </w:r>
      <w:r w:rsidRPr="00460E6A">
        <w:rPr>
          <w:rFonts w:cstheme="minorHAnsi"/>
          <w:i/>
          <w:noProof/>
          <w:color w:val="000000" w:themeColor="text1"/>
        </w:rPr>
        <w:t>What is Money?</w:t>
      </w:r>
      <w:r w:rsidRPr="00460E6A">
        <w:rPr>
          <w:rFonts w:cstheme="minorHAnsi"/>
          <w:noProof/>
          <w:color w:val="000000" w:themeColor="text1"/>
        </w:rPr>
        <w:t>, 217-234. New York: Routledge.</w:t>
      </w:r>
    </w:p>
    <w:p w14:paraId="487B2A6D" w14:textId="77777777" w:rsidR="00017956" w:rsidRPr="00460E6A" w:rsidRDefault="00017956" w:rsidP="00460E6A">
      <w:pPr>
        <w:autoSpaceDE w:val="0"/>
        <w:autoSpaceDN w:val="0"/>
        <w:adjustRightInd w:val="0"/>
        <w:spacing w:before="120" w:after="0" w:line="240" w:lineRule="auto"/>
        <w:ind w:left="360" w:hanging="360"/>
        <w:jc w:val="both"/>
        <w:rPr>
          <w:rFonts w:cstheme="minorHAnsi"/>
          <w:noProof/>
          <w:color w:val="000000" w:themeColor="text1"/>
        </w:rPr>
      </w:pPr>
      <w:r w:rsidRPr="00460E6A">
        <w:rPr>
          <w:rFonts w:cstheme="minorHAnsi"/>
          <w:noProof/>
          <w:color w:val="000000" w:themeColor="text1"/>
        </w:rPr>
        <w:t xml:space="preserve">Knapp, G.F. (1905) </w:t>
      </w:r>
      <w:r w:rsidRPr="00460E6A">
        <w:rPr>
          <w:rFonts w:cstheme="minorHAnsi"/>
          <w:i/>
          <w:iCs/>
          <w:noProof/>
          <w:color w:val="000000" w:themeColor="text1"/>
        </w:rPr>
        <w:t xml:space="preserve">The State Theory of Money. </w:t>
      </w:r>
      <w:r w:rsidRPr="00460E6A">
        <w:rPr>
          <w:rFonts w:cstheme="minorHAnsi"/>
          <w:noProof/>
          <w:color w:val="000000" w:themeColor="text1"/>
        </w:rPr>
        <w:t>English translation, 1924 (London: Macmillan).</w:t>
      </w:r>
    </w:p>
    <w:p w14:paraId="3817788E" w14:textId="77777777" w:rsidR="00017956" w:rsidRPr="00460E6A" w:rsidRDefault="00017956" w:rsidP="00460E6A">
      <w:pPr>
        <w:spacing w:before="120" w:after="0" w:line="240" w:lineRule="auto"/>
        <w:ind w:left="360" w:hanging="360"/>
        <w:rPr>
          <w:rFonts w:cstheme="minorHAnsi"/>
          <w:noProof/>
          <w:color w:val="000000" w:themeColor="text1"/>
        </w:rPr>
      </w:pPr>
      <w:r w:rsidRPr="00460E6A">
        <w:rPr>
          <w:rFonts w:cstheme="minorHAnsi"/>
          <w:noProof/>
          <w:color w:val="000000" w:themeColor="text1"/>
        </w:rPr>
        <w:t xml:space="preserve">Lavoie, M. (1996) “Horizontalism, structuralism, liquidity preference and the principle of increasing risk” </w:t>
      </w:r>
      <w:r w:rsidRPr="00460E6A">
        <w:rPr>
          <w:rFonts w:cstheme="minorHAnsi"/>
          <w:i/>
          <w:iCs/>
          <w:noProof/>
          <w:color w:val="000000" w:themeColor="text1"/>
        </w:rPr>
        <w:t>Scottish Journal of Political Economy</w:t>
      </w:r>
      <w:r w:rsidRPr="00460E6A">
        <w:rPr>
          <w:rFonts w:cstheme="minorHAnsi"/>
          <w:noProof/>
          <w:color w:val="000000" w:themeColor="text1"/>
        </w:rPr>
        <w:t>, 43 (3): 275-300.</w:t>
      </w:r>
    </w:p>
    <w:p w14:paraId="7778BB12" w14:textId="77777777" w:rsidR="00017956" w:rsidRPr="00460E6A" w:rsidRDefault="00017956" w:rsidP="00460E6A">
      <w:pPr>
        <w:spacing w:before="120" w:after="0" w:line="240" w:lineRule="auto"/>
        <w:ind w:left="360" w:hanging="360"/>
        <w:rPr>
          <w:rFonts w:cstheme="minorHAnsi"/>
          <w:noProof/>
          <w:color w:val="000000" w:themeColor="text1"/>
        </w:rPr>
      </w:pPr>
      <w:r w:rsidRPr="00460E6A">
        <w:rPr>
          <w:rFonts w:cstheme="minorHAnsi"/>
          <w:noProof/>
          <w:color w:val="000000" w:themeColor="text1"/>
        </w:rPr>
        <w:t xml:space="preserve">_____. (2006) “Endogenous money: Accomodationist” in Arestis, P. and Sawyer, M.C. (eds) </w:t>
      </w:r>
      <w:r w:rsidRPr="00460E6A">
        <w:rPr>
          <w:rFonts w:cstheme="minorHAnsi"/>
          <w:i/>
          <w:noProof/>
          <w:color w:val="000000" w:themeColor="text1"/>
        </w:rPr>
        <w:t>A Handbook of Alternative Monetary Economics</w:t>
      </w:r>
      <w:r w:rsidRPr="00460E6A">
        <w:rPr>
          <w:rFonts w:cstheme="minorHAnsi"/>
          <w:noProof/>
          <w:color w:val="000000" w:themeColor="text1"/>
        </w:rPr>
        <w:t>, 17-34, Northampton: Edward Elgar.</w:t>
      </w:r>
    </w:p>
    <w:p w14:paraId="6DAD996C" w14:textId="77777777" w:rsidR="00017956" w:rsidRPr="00460E6A" w:rsidRDefault="00017956" w:rsidP="00460E6A">
      <w:pPr>
        <w:autoSpaceDE w:val="0"/>
        <w:autoSpaceDN w:val="0"/>
        <w:adjustRightInd w:val="0"/>
        <w:spacing w:before="120" w:after="0" w:line="240" w:lineRule="auto"/>
        <w:ind w:left="360" w:hanging="360"/>
        <w:rPr>
          <w:rFonts w:cstheme="minorHAnsi"/>
          <w:noProof/>
          <w:color w:val="000000" w:themeColor="text1"/>
        </w:rPr>
      </w:pPr>
      <w:r w:rsidRPr="00460E6A">
        <w:rPr>
          <w:rFonts w:cstheme="minorHAnsi"/>
          <w:noProof/>
          <w:color w:val="000000" w:themeColor="text1"/>
        </w:rPr>
        <w:t>_____.</w:t>
      </w:r>
      <w:r w:rsidRPr="00460E6A">
        <w:rPr>
          <w:rFonts w:eastAsia="Times New Roman" w:cstheme="minorHAnsi"/>
          <w:noProof/>
          <w:color w:val="000000" w:themeColor="text1"/>
        </w:rPr>
        <w:t xml:space="preserve"> (2010) “Changes in central bank procedures during the subprime crisis and their repercussions for monetary theory” </w:t>
      </w:r>
      <w:r w:rsidRPr="00460E6A">
        <w:rPr>
          <w:rFonts w:eastAsia="Times New Roman" w:cstheme="minorHAnsi"/>
          <w:i/>
          <w:noProof/>
          <w:color w:val="000000" w:themeColor="text1"/>
        </w:rPr>
        <w:t>International Journal of Political Economy</w:t>
      </w:r>
      <w:r w:rsidRPr="00460E6A">
        <w:rPr>
          <w:rFonts w:eastAsia="Times New Roman" w:cstheme="minorHAnsi"/>
          <w:noProof/>
          <w:color w:val="000000" w:themeColor="text1"/>
        </w:rPr>
        <w:t xml:space="preserve"> 39 (3), 3-23.</w:t>
      </w:r>
    </w:p>
    <w:p w14:paraId="37E3B60D" w14:textId="77777777" w:rsidR="00017956" w:rsidRPr="00460E6A" w:rsidRDefault="00017956" w:rsidP="00460E6A">
      <w:pPr>
        <w:spacing w:before="120" w:after="0" w:line="240" w:lineRule="auto"/>
        <w:ind w:left="360" w:hanging="360"/>
        <w:jc w:val="both"/>
        <w:rPr>
          <w:rFonts w:cstheme="minorHAnsi"/>
          <w:noProof/>
          <w:color w:val="000000" w:themeColor="text1"/>
        </w:rPr>
      </w:pPr>
      <w:r w:rsidRPr="00460E6A">
        <w:rPr>
          <w:rFonts w:cstheme="minorHAnsi"/>
          <w:noProof/>
          <w:color w:val="000000" w:themeColor="text1"/>
        </w:rPr>
        <w:t xml:space="preserve">MacLeod, H.D. (1889) </w:t>
      </w:r>
      <w:r w:rsidRPr="00460E6A">
        <w:rPr>
          <w:rFonts w:cstheme="minorHAnsi"/>
          <w:i/>
          <w:noProof/>
          <w:color w:val="000000" w:themeColor="text1"/>
        </w:rPr>
        <w:t>The Theory of Credit</w:t>
      </w:r>
      <w:r w:rsidRPr="00460E6A">
        <w:rPr>
          <w:rFonts w:cstheme="minorHAnsi"/>
          <w:noProof/>
          <w:color w:val="000000" w:themeColor="text1"/>
        </w:rPr>
        <w:t>. London: Longmans and Green.</w:t>
      </w:r>
    </w:p>
    <w:p w14:paraId="35CBE744" w14:textId="77777777" w:rsidR="00017956" w:rsidRPr="00460E6A" w:rsidRDefault="00017956" w:rsidP="00460E6A">
      <w:pPr>
        <w:tabs>
          <w:tab w:val="left" w:pos="1739"/>
        </w:tabs>
        <w:spacing w:before="120" w:after="0" w:line="240" w:lineRule="auto"/>
        <w:ind w:left="360" w:hanging="360"/>
        <w:jc w:val="both"/>
        <w:rPr>
          <w:rFonts w:cstheme="minorHAnsi"/>
          <w:noProof/>
          <w:color w:val="000000" w:themeColor="text1"/>
        </w:rPr>
      </w:pPr>
      <w:r w:rsidRPr="00460E6A">
        <w:rPr>
          <w:rFonts w:cstheme="minorHAnsi"/>
          <w:noProof/>
          <w:color w:val="000000" w:themeColor="text1"/>
        </w:rPr>
        <w:t xml:space="preserve">Mann, F.A. (1992) </w:t>
      </w:r>
      <w:r w:rsidRPr="00460E6A">
        <w:rPr>
          <w:rFonts w:cstheme="minorHAnsi"/>
          <w:i/>
          <w:noProof/>
          <w:color w:val="000000" w:themeColor="text1"/>
        </w:rPr>
        <w:t>The Legal Aspect of Money</w:t>
      </w:r>
      <w:r w:rsidRPr="00460E6A">
        <w:rPr>
          <w:rFonts w:cstheme="minorHAnsi"/>
          <w:noProof/>
          <w:color w:val="000000" w:themeColor="text1"/>
        </w:rPr>
        <w:t>. Oxford: Oxford University Press.</w:t>
      </w:r>
    </w:p>
    <w:p w14:paraId="6A73EDAC" w14:textId="77777777" w:rsidR="00E70AEA" w:rsidRPr="00460E6A" w:rsidRDefault="00E70AEA" w:rsidP="00460E6A">
      <w:pPr>
        <w:spacing w:before="120" w:after="0" w:line="240" w:lineRule="auto"/>
        <w:ind w:left="360" w:hanging="360"/>
        <w:rPr>
          <w:rFonts w:cstheme="minorHAnsi"/>
          <w:noProof/>
          <w:color w:val="000000" w:themeColor="text1"/>
        </w:rPr>
      </w:pPr>
      <w:r w:rsidRPr="00460E6A">
        <w:rPr>
          <w:rFonts w:cstheme="minorHAnsi"/>
          <w:noProof/>
          <w:color w:val="000000" w:themeColor="text1"/>
        </w:rPr>
        <w:t xml:space="preserve">Mason, J.W. (2020) “Can We Create All the Money We Need?” </w:t>
      </w:r>
      <w:r w:rsidRPr="00460E6A">
        <w:rPr>
          <w:rFonts w:cstheme="minorHAnsi"/>
          <w:i/>
          <w:noProof/>
          <w:color w:val="000000" w:themeColor="text1"/>
        </w:rPr>
        <w:t>The American Prospect</w:t>
      </w:r>
      <w:r w:rsidRPr="00460E6A">
        <w:rPr>
          <w:rFonts w:cstheme="minorHAnsi"/>
          <w:noProof/>
          <w:color w:val="000000" w:themeColor="text1"/>
        </w:rPr>
        <w:t xml:space="preserve">, July 14. Accessed November 9, 2021 at </w:t>
      </w:r>
      <w:hyperlink r:id="rId9" w:history="1">
        <w:r w:rsidRPr="00460E6A">
          <w:rPr>
            <w:rStyle w:val="Hyperlink"/>
            <w:rFonts w:cstheme="minorHAnsi"/>
            <w:noProof/>
            <w:color w:val="000000" w:themeColor="text1"/>
          </w:rPr>
          <w:t>https://prospect.org/culture/books/mmt-can-we-create-all-the-money-we-need/</w:t>
        </w:r>
      </w:hyperlink>
      <w:r w:rsidRPr="00460E6A">
        <w:rPr>
          <w:rFonts w:cstheme="minorHAnsi"/>
          <w:noProof/>
          <w:color w:val="000000" w:themeColor="text1"/>
        </w:rPr>
        <w:t xml:space="preserve"> </w:t>
      </w:r>
    </w:p>
    <w:p w14:paraId="7C71D4BE" w14:textId="77777777" w:rsidR="001835B3" w:rsidRPr="00460E6A" w:rsidRDefault="001835B3" w:rsidP="00460E6A">
      <w:pPr>
        <w:spacing w:before="120" w:after="0" w:line="240" w:lineRule="auto"/>
        <w:ind w:left="360" w:hanging="360"/>
        <w:rPr>
          <w:rFonts w:cstheme="minorHAnsi"/>
          <w:noProof/>
          <w:color w:val="000000" w:themeColor="text1"/>
        </w:rPr>
      </w:pPr>
      <w:r w:rsidRPr="00460E6A">
        <w:rPr>
          <w:rFonts w:cstheme="minorHAnsi"/>
          <w:noProof/>
          <w:color w:val="000000" w:themeColor="text1"/>
        </w:rPr>
        <w:t xml:space="preserve">Mehrling, P. (2000) “Modern money: Fiat or credit?” </w:t>
      </w:r>
      <w:r w:rsidRPr="00460E6A">
        <w:rPr>
          <w:rFonts w:cstheme="minorHAnsi"/>
          <w:i/>
          <w:noProof/>
          <w:color w:val="000000" w:themeColor="text1"/>
        </w:rPr>
        <w:t>Journal of Post Keynesian Economics</w:t>
      </w:r>
      <w:r w:rsidRPr="00460E6A">
        <w:rPr>
          <w:rFonts w:cstheme="minorHAnsi"/>
          <w:noProof/>
          <w:color w:val="000000" w:themeColor="text1"/>
        </w:rPr>
        <w:t xml:space="preserve"> 22 (3): 397-406</w:t>
      </w:r>
    </w:p>
    <w:p w14:paraId="35FB877E" w14:textId="77777777" w:rsidR="00017956" w:rsidRPr="00460E6A" w:rsidRDefault="00017956" w:rsidP="00460E6A">
      <w:pPr>
        <w:spacing w:before="120" w:after="0" w:line="240" w:lineRule="auto"/>
        <w:ind w:left="360" w:hanging="360"/>
        <w:rPr>
          <w:rFonts w:cstheme="minorHAnsi"/>
          <w:noProof/>
          <w:color w:val="000000" w:themeColor="text1"/>
        </w:rPr>
      </w:pPr>
      <w:r w:rsidRPr="00460E6A">
        <w:rPr>
          <w:rFonts w:cstheme="minorHAnsi"/>
          <w:noProof/>
          <w:color w:val="000000" w:themeColor="text1"/>
        </w:rPr>
        <w:t xml:space="preserve">Minsky, H.P. (1986) </w:t>
      </w:r>
      <w:r w:rsidRPr="00460E6A">
        <w:rPr>
          <w:rFonts w:cstheme="minorHAnsi"/>
          <w:i/>
          <w:noProof/>
          <w:color w:val="000000" w:themeColor="text1"/>
        </w:rPr>
        <w:t>Stabilizing an Unstable Economy</w:t>
      </w:r>
      <w:r w:rsidRPr="00460E6A">
        <w:rPr>
          <w:rFonts w:cstheme="minorHAnsi"/>
          <w:noProof/>
          <w:color w:val="000000" w:themeColor="text1"/>
        </w:rPr>
        <w:t>. New Heaven: Yale University Press.</w:t>
      </w:r>
    </w:p>
    <w:p w14:paraId="0D89BA07" w14:textId="77777777" w:rsidR="00CC1DAA" w:rsidRPr="00460E6A" w:rsidRDefault="00CC1DAA" w:rsidP="00460E6A">
      <w:pPr>
        <w:spacing w:before="120" w:after="0" w:line="240" w:lineRule="auto"/>
        <w:ind w:left="360" w:hanging="360"/>
        <w:rPr>
          <w:rFonts w:cstheme="minorHAnsi"/>
          <w:noProof/>
          <w:color w:val="000000" w:themeColor="text1"/>
        </w:rPr>
      </w:pPr>
      <w:r w:rsidRPr="00460E6A">
        <w:rPr>
          <w:rFonts w:cstheme="minorHAnsi"/>
          <w:noProof/>
          <w:color w:val="000000" w:themeColor="text1"/>
        </w:rPr>
        <w:t>Mitchell, W.F. (2009) “Zimbabwe for hyperventilators 101”, accessed August 3, 2021 at http://bilbo.economicoutlook.net/blog/?p=3773</w:t>
      </w:r>
    </w:p>
    <w:p w14:paraId="77B25C6E" w14:textId="77777777" w:rsidR="00017956" w:rsidRPr="00460E6A" w:rsidRDefault="00017956" w:rsidP="00460E6A">
      <w:pPr>
        <w:spacing w:before="120" w:after="0" w:line="240" w:lineRule="auto"/>
        <w:ind w:left="360" w:hanging="360"/>
        <w:rPr>
          <w:rFonts w:cstheme="minorHAnsi"/>
          <w:noProof/>
          <w:color w:val="000000" w:themeColor="text1"/>
        </w:rPr>
      </w:pPr>
      <w:r w:rsidRPr="00460E6A">
        <w:rPr>
          <w:rFonts w:cstheme="minorHAnsi"/>
          <w:noProof/>
          <w:color w:val="000000" w:themeColor="text1"/>
        </w:rPr>
        <w:t xml:space="preserve">Mitchell, W.F. and Muysken, J. (2008) </w:t>
      </w:r>
      <w:r w:rsidRPr="00460E6A">
        <w:rPr>
          <w:rFonts w:cstheme="minorHAnsi"/>
          <w:i/>
          <w:noProof/>
          <w:color w:val="000000" w:themeColor="text1"/>
        </w:rPr>
        <w:t>Full Employment Abandoned: Shifting Sands and Policy Failures</w:t>
      </w:r>
      <w:r w:rsidRPr="00460E6A">
        <w:rPr>
          <w:rFonts w:cstheme="minorHAnsi"/>
          <w:noProof/>
          <w:color w:val="000000" w:themeColor="text1"/>
        </w:rPr>
        <w:t xml:space="preserve">. Aldershot: Edward Elgar. </w:t>
      </w:r>
    </w:p>
    <w:p w14:paraId="1090E984" w14:textId="77777777" w:rsidR="00CC1DAA" w:rsidRPr="00460E6A" w:rsidRDefault="00CC1DAA" w:rsidP="00460E6A">
      <w:pPr>
        <w:autoSpaceDE w:val="0"/>
        <w:autoSpaceDN w:val="0"/>
        <w:adjustRightInd w:val="0"/>
        <w:spacing w:before="120" w:after="0" w:line="240" w:lineRule="auto"/>
        <w:ind w:left="360" w:hanging="360"/>
        <w:rPr>
          <w:rFonts w:cstheme="minorHAnsi"/>
          <w:noProof/>
          <w:color w:val="000000" w:themeColor="text1"/>
        </w:rPr>
      </w:pPr>
      <w:r w:rsidRPr="00460E6A">
        <w:rPr>
          <w:rFonts w:cstheme="minorHAnsi"/>
          <w:noProof/>
          <w:color w:val="000000" w:themeColor="text1"/>
        </w:rPr>
        <w:t xml:space="preserve">Mitchell, W.F., Wray, L.R. and Watts, M. (2019) </w:t>
      </w:r>
      <w:r w:rsidRPr="00460E6A">
        <w:rPr>
          <w:rFonts w:cstheme="minorHAnsi"/>
          <w:i/>
          <w:noProof/>
          <w:color w:val="000000" w:themeColor="text1"/>
        </w:rPr>
        <w:t>Macroeconomics</w:t>
      </w:r>
      <w:r w:rsidRPr="00460E6A">
        <w:rPr>
          <w:rFonts w:cstheme="minorHAnsi"/>
          <w:noProof/>
          <w:color w:val="000000" w:themeColor="text1"/>
        </w:rPr>
        <w:t>. London: Red Globe Press.</w:t>
      </w:r>
    </w:p>
    <w:p w14:paraId="225B22AE" w14:textId="77777777" w:rsidR="00CE003C" w:rsidRPr="00460E6A" w:rsidRDefault="00CE003C" w:rsidP="00460E6A">
      <w:pPr>
        <w:spacing w:before="120"/>
        <w:ind w:left="360" w:hanging="360"/>
        <w:rPr>
          <w:rFonts w:cstheme="minorHAnsi"/>
          <w:noProof/>
          <w:color w:val="000000" w:themeColor="text1"/>
          <w:lang w:eastAsia="fr-FR"/>
        </w:rPr>
      </w:pPr>
      <w:r w:rsidRPr="00460E6A">
        <w:rPr>
          <w:rFonts w:cstheme="minorHAnsi"/>
          <w:noProof/>
          <w:color w:val="000000" w:themeColor="text1"/>
          <w:lang w:eastAsia="fr-FR"/>
        </w:rPr>
        <w:t xml:space="preserve">Moore, B.J. (1988) </w:t>
      </w:r>
      <w:r w:rsidRPr="00460E6A">
        <w:rPr>
          <w:rFonts w:cstheme="minorHAnsi"/>
          <w:i/>
          <w:iCs/>
          <w:noProof/>
          <w:color w:val="000000" w:themeColor="text1"/>
          <w:lang w:eastAsia="fr-FR"/>
        </w:rPr>
        <w:t>Horizontalists and Verticalists: The Macroeconomics of Credit Money</w:t>
      </w:r>
      <w:r w:rsidRPr="00460E6A">
        <w:rPr>
          <w:rFonts w:cstheme="minorHAnsi"/>
          <w:noProof/>
          <w:color w:val="000000" w:themeColor="text1"/>
          <w:lang w:eastAsia="fr-FR"/>
        </w:rPr>
        <w:t>. Cambridge: Cambridge University Press.</w:t>
      </w:r>
    </w:p>
    <w:p w14:paraId="1D4E29C1" w14:textId="77777777" w:rsidR="00017956" w:rsidRPr="00460E6A" w:rsidRDefault="00017956" w:rsidP="00460E6A">
      <w:pPr>
        <w:pStyle w:val="Default"/>
        <w:spacing w:before="120"/>
        <w:ind w:left="360" w:hanging="360"/>
        <w:rPr>
          <w:rFonts w:asciiTheme="minorHAnsi" w:hAnsiTheme="minorHAnsi" w:cstheme="minorHAnsi"/>
          <w:noProof/>
          <w:color w:val="000000" w:themeColor="text1"/>
          <w:sz w:val="22"/>
          <w:szCs w:val="22"/>
        </w:rPr>
      </w:pPr>
      <w:r w:rsidRPr="00460E6A">
        <w:rPr>
          <w:rFonts w:asciiTheme="minorHAnsi" w:hAnsiTheme="minorHAnsi" w:cstheme="minorHAnsi"/>
          <w:noProof/>
          <w:color w:val="000000" w:themeColor="text1"/>
          <w:sz w:val="22"/>
          <w:szCs w:val="22"/>
        </w:rPr>
        <w:t xml:space="preserve">Murad, A. (1943) “The nature of money” </w:t>
      </w:r>
      <w:r w:rsidRPr="00460E6A">
        <w:rPr>
          <w:rFonts w:asciiTheme="minorHAnsi" w:hAnsiTheme="minorHAnsi" w:cstheme="minorHAnsi"/>
          <w:i/>
          <w:noProof/>
          <w:color w:val="000000" w:themeColor="text1"/>
          <w:sz w:val="22"/>
          <w:szCs w:val="22"/>
        </w:rPr>
        <w:t>Southern Economic Journal</w:t>
      </w:r>
      <w:r w:rsidRPr="00460E6A">
        <w:rPr>
          <w:rFonts w:asciiTheme="minorHAnsi" w:hAnsiTheme="minorHAnsi" w:cstheme="minorHAnsi"/>
          <w:noProof/>
          <w:color w:val="000000" w:themeColor="text1"/>
          <w:sz w:val="22"/>
          <w:szCs w:val="22"/>
        </w:rPr>
        <w:t>, 9 (3): 217-233.</w:t>
      </w:r>
    </w:p>
    <w:p w14:paraId="5AA4A1F6" w14:textId="77777777" w:rsidR="00017956" w:rsidRPr="00460E6A" w:rsidRDefault="00017956" w:rsidP="00460E6A">
      <w:pPr>
        <w:spacing w:before="120" w:after="0" w:line="240" w:lineRule="auto"/>
        <w:ind w:left="360" w:hanging="360"/>
        <w:jc w:val="both"/>
        <w:rPr>
          <w:rFonts w:cstheme="minorHAnsi"/>
          <w:noProof/>
          <w:color w:val="000000" w:themeColor="text1"/>
        </w:rPr>
      </w:pPr>
      <w:r w:rsidRPr="00460E6A">
        <w:rPr>
          <w:rFonts w:cstheme="minorHAnsi"/>
          <w:noProof/>
          <w:color w:val="000000" w:themeColor="text1"/>
        </w:rPr>
        <w:t xml:space="preserve">_____. (1954) </w:t>
      </w:r>
      <w:r w:rsidRPr="00460E6A">
        <w:rPr>
          <w:rFonts w:cstheme="minorHAnsi"/>
          <w:i/>
          <w:noProof/>
          <w:color w:val="000000" w:themeColor="text1"/>
        </w:rPr>
        <w:t>Private Credit and Public Debt</w:t>
      </w:r>
      <w:r w:rsidRPr="00460E6A">
        <w:rPr>
          <w:rFonts w:cstheme="minorHAnsi"/>
          <w:noProof/>
          <w:color w:val="000000" w:themeColor="text1"/>
        </w:rPr>
        <w:t>. Washington, DC: Public Affairs Press.</w:t>
      </w:r>
    </w:p>
    <w:p w14:paraId="78E633D4" w14:textId="77777777" w:rsidR="00BE2627" w:rsidRPr="00460E6A" w:rsidRDefault="00BE2627" w:rsidP="00460E6A">
      <w:pPr>
        <w:spacing w:before="120" w:after="0" w:line="240" w:lineRule="auto"/>
        <w:ind w:left="360" w:hanging="360"/>
        <w:jc w:val="both"/>
        <w:rPr>
          <w:rFonts w:cstheme="minorHAnsi"/>
          <w:noProof/>
          <w:color w:val="000000" w:themeColor="text1"/>
        </w:rPr>
      </w:pPr>
      <w:r w:rsidRPr="00460E6A">
        <w:rPr>
          <w:rFonts w:cstheme="minorHAnsi"/>
          <w:noProof/>
          <w:color w:val="000000" w:themeColor="text1"/>
        </w:rPr>
        <w:lastRenderedPageBreak/>
        <w:t xml:space="preserve">Murphy, (2012) “Origin of the Specie” </w:t>
      </w:r>
      <w:r w:rsidRPr="00460E6A">
        <w:rPr>
          <w:rFonts w:cstheme="minorHAnsi"/>
          <w:i/>
          <w:noProof/>
          <w:color w:val="000000" w:themeColor="text1"/>
        </w:rPr>
        <w:t>The American Conservative</w:t>
      </w:r>
      <w:r w:rsidRPr="00460E6A">
        <w:rPr>
          <w:rFonts w:cstheme="minorHAnsi"/>
          <w:noProof/>
          <w:color w:val="000000" w:themeColor="text1"/>
        </w:rPr>
        <w:t>, April 11. Accessed November 9, 2021 at https://www.theamericanconservative.com/articles/origin-of-the-specie/</w:t>
      </w:r>
    </w:p>
    <w:p w14:paraId="325F4793" w14:textId="77777777" w:rsidR="00BE2627" w:rsidRPr="00460E6A" w:rsidRDefault="00BE2627" w:rsidP="00460E6A">
      <w:pPr>
        <w:spacing w:before="120" w:after="0" w:line="240" w:lineRule="auto"/>
        <w:ind w:left="360" w:hanging="360"/>
        <w:jc w:val="both"/>
        <w:rPr>
          <w:rFonts w:cstheme="minorHAnsi"/>
          <w:noProof/>
          <w:color w:val="000000" w:themeColor="text1"/>
        </w:rPr>
      </w:pPr>
      <w:r w:rsidRPr="00460E6A">
        <w:rPr>
          <w:rFonts w:cstheme="minorHAnsi"/>
          <w:noProof/>
          <w:color w:val="000000" w:themeColor="text1"/>
        </w:rPr>
        <w:t xml:space="preserve">_____. (2020) “A Rebuke of ‘Modern Monetary Theory’” </w:t>
      </w:r>
      <w:r w:rsidRPr="00460E6A">
        <w:rPr>
          <w:rFonts w:cstheme="minorHAnsi"/>
          <w:i/>
          <w:noProof/>
          <w:color w:val="000000" w:themeColor="text1"/>
        </w:rPr>
        <w:t>The Libertarian Institute</w:t>
      </w:r>
      <w:r w:rsidRPr="00460E6A">
        <w:rPr>
          <w:rFonts w:cstheme="minorHAnsi"/>
          <w:noProof/>
          <w:color w:val="000000" w:themeColor="text1"/>
        </w:rPr>
        <w:t>, June 25. Accessed November 9, 2021 at https://libertarianinstitute.org/articles/a-rebuke-of-modern-monetary-theory/</w:t>
      </w:r>
    </w:p>
    <w:p w14:paraId="7EA9F77D" w14:textId="77777777" w:rsidR="00017956" w:rsidRPr="00460E6A" w:rsidRDefault="00017956" w:rsidP="00460E6A">
      <w:pPr>
        <w:pStyle w:val="BodyTextIndent2"/>
        <w:tabs>
          <w:tab w:val="clear" w:pos="-1447"/>
          <w:tab w:val="clear" w:pos="-727"/>
          <w:tab w:val="clear" w:pos="-7"/>
          <w:tab w:val="clear" w:pos="255"/>
          <w:tab w:val="clear" w:pos="525"/>
          <w:tab w:val="clear" w:pos="795"/>
          <w:tab w:val="clear" w:pos="1433"/>
          <w:tab w:val="clear" w:pos="2153"/>
          <w:tab w:val="clear" w:pos="2873"/>
          <w:tab w:val="clear" w:pos="3593"/>
          <w:tab w:val="clear" w:pos="4313"/>
          <w:tab w:val="clear" w:pos="5033"/>
          <w:tab w:val="clear" w:pos="5753"/>
        </w:tabs>
        <w:spacing w:before="120"/>
        <w:ind w:left="360" w:hanging="360"/>
        <w:rPr>
          <w:rFonts w:asciiTheme="minorHAnsi" w:hAnsiTheme="minorHAnsi" w:cstheme="minorHAnsi"/>
          <w:noProof/>
          <w:color w:val="000000" w:themeColor="text1"/>
          <w:sz w:val="22"/>
          <w:szCs w:val="22"/>
        </w:rPr>
      </w:pPr>
      <w:r w:rsidRPr="00460E6A">
        <w:rPr>
          <w:rFonts w:asciiTheme="minorHAnsi" w:hAnsiTheme="minorHAnsi" w:cstheme="minorHAnsi"/>
          <w:noProof/>
          <w:color w:val="000000" w:themeColor="text1"/>
          <w:sz w:val="22"/>
          <w:szCs w:val="22"/>
        </w:rPr>
        <w:t xml:space="preserve">Nissen, H.J., Damerow, P. and Englund, R.K. (1993) </w:t>
      </w:r>
      <w:r w:rsidRPr="00460E6A">
        <w:rPr>
          <w:rFonts w:asciiTheme="minorHAnsi" w:hAnsiTheme="minorHAnsi" w:cstheme="minorHAnsi"/>
          <w:i/>
          <w:iCs/>
          <w:noProof/>
          <w:color w:val="000000" w:themeColor="text1"/>
          <w:sz w:val="22"/>
          <w:szCs w:val="22"/>
        </w:rPr>
        <w:t>Archaic Bookkeeping</w:t>
      </w:r>
      <w:r w:rsidRPr="00460E6A">
        <w:rPr>
          <w:rFonts w:asciiTheme="minorHAnsi" w:hAnsiTheme="minorHAnsi" w:cstheme="minorHAnsi"/>
          <w:noProof/>
          <w:color w:val="000000" w:themeColor="text1"/>
          <w:sz w:val="22"/>
          <w:szCs w:val="22"/>
        </w:rPr>
        <w:t xml:space="preserve">. Chicago: Chicago University Press. </w:t>
      </w:r>
    </w:p>
    <w:p w14:paraId="59887603" w14:textId="77777777" w:rsidR="00017956" w:rsidRPr="00460E6A" w:rsidRDefault="00017956" w:rsidP="00460E6A">
      <w:pPr>
        <w:spacing w:before="120" w:after="0" w:line="240" w:lineRule="auto"/>
        <w:ind w:left="360" w:hanging="360"/>
        <w:jc w:val="both"/>
        <w:rPr>
          <w:rFonts w:cstheme="minorHAnsi"/>
          <w:noProof/>
          <w:color w:val="000000" w:themeColor="text1"/>
        </w:rPr>
      </w:pPr>
      <w:r w:rsidRPr="00460E6A">
        <w:rPr>
          <w:rFonts w:cstheme="minorHAnsi"/>
          <w:noProof/>
          <w:color w:val="000000" w:themeColor="text1"/>
        </w:rPr>
        <w:t xml:space="preserve">Nussbaum, A. (1950) </w:t>
      </w:r>
      <w:r w:rsidRPr="00460E6A">
        <w:rPr>
          <w:rFonts w:cstheme="minorHAnsi"/>
          <w:i/>
          <w:noProof/>
          <w:color w:val="000000" w:themeColor="text1"/>
        </w:rPr>
        <w:t>Money and the Law: National and International</w:t>
      </w:r>
      <w:r w:rsidRPr="00460E6A">
        <w:rPr>
          <w:rFonts w:cstheme="minorHAnsi"/>
          <w:noProof/>
          <w:color w:val="000000" w:themeColor="text1"/>
        </w:rPr>
        <w:t>. Brooklyn: Foundation Press.</w:t>
      </w:r>
    </w:p>
    <w:p w14:paraId="632437D1" w14:textId="77777777" w:rsidR="00017956" w:rsidRPr="00460E6A" w:rsidRDefault="00017956" w:rsidP="00460E6A">
      <w:pPr>
        <w:autoSpaceDE w:val="0"/>
        <w:autoSpaceDN w:val="0"/>
        <w:adjustRightInd w:val="0"/>
        <w:spacing w:before="120" w:after="0" w:line="240" w:lineRule="auto"/>
        <w:ind w:left="360" w:hanging="360"/>
        <w:rPr>
          <w:rFonts w:eastAsia="Calibri" w:cstheme="minorHAnsi"/>
          <w:noProof/>
          <w:color w:val="000000" w:themeColor="text1"/>
        </w:rPr>
      </w:pPr>
      <w:r w:rsidRPr="00460E6A">
        <w:rPr>
          <w:rFonts w:eastAsia="Calibri" w:cstheme="minorHAnsi"/>
          <w:noProof/>
          <w:color w:val="000000" w:themeColor="text1"/>
        </w:rPr>
        <w:t xml:space="preserve">Parguez, A. (2002) “A monetary theory of public finance” </w:t>
      </w:r>
      <w:r w:rsidRPr="00460E6A">
        <w:rPr>
          <w:rFonts w:eastAsia="Calibri" w:cstheme="minorHAnsi"/>
          <w:i/>
          <w:iCs/>
          <w:noProof/>
          <w:color w:val="000000" w:themeColor="text1"/>
        </w:rPr>
        <w:t xml:space="preserve">International Journal of Political Economy </w:t>
      </w:r>
      <w:r w:rsidRPr="00460E6A">
        <w:rPr>
          <w:rFonts w:eastAsia="Calibri" w:cstheme="minorHAnsi"/>
          <w:noProof/>
          <w:color w:val="000000" w:themeColor="text1"/>
        </w:rPr>
        <w:t>32, 3: 80-97.</w:t>
      </w:r>
    </w:p>
    <w:p w14:paraId="2F4846BE" w14:textId="77777777" w:rsidR="00AD2DCC" w:rsidRPr="00460E6A" w:rsidRDefault="00AD2DCC" w:rsidP="00460E6A">
      <w:pPr>
        <w:spacing w:before="120" w:after="0" w:line="240" w:lineRule="auto"/>
        <w:ind w:left="360" w:hanging="360"/>
        <w:jc w:val="both"/>
        <w:rPr>
          <w:rFonts w:cstheme="minorHAnsi"/>
          <w:color w:val="000000" w:themeColor="text1"/>
        </w:rPr>
      </w:pPr>
      <w:r w:rsidRPr="00460E6A">
        <w:rPr>
          <w:rFonts w:cstheme="minorHAnsi"/>
          <w:color w:val="000000" w:themeColor="text1"/>
        </w:rPr>
        <w:t xml:space="preserve">Peacock, M.S. (2006) “The origins of money in Ancient Greece: The political economy of coinage and exchange” </w:t>
      </w:r>
      <w:r w:rsidRPr="00460E6A">
        <w:rPr>
          <w:rFonts w:cstheme="minorHAnsi"/>
          <w:i/>
          <w:color w:val="000000" w:themeColor="text1"/>
        </w:rPr>
        <w:t>Cambridge Journal of Economics</w:t>
      </w:r>
      <w:r w:rsidRPr="00460E6A">
        <w:rPr>
          <w:rFonts w:cstheme="minorHAnsi"/>
          <w:color w:val="000000" w:themeColor="text1"/>
        </w:rPr>
        <w:t>, 30 (4): 637-650.</w:t>
      </w:r>
    </w:p>
    <w:p w14:paraId="7F7E27E3" w14:textId="77777777" w:rsidR="00017956" w:rsidRPr="00460E6A" w:rsidRDefault="00017956" w:rsidP="00460E6A">
      <w:pPr>
        <w:spacing w:before="120" w:after="0" w:line="240" w:lineRule="auto"/>
        <w:ind w:left="360" w:hanging="360"/>
        <w:jc w:val="both"/>
        <w:rPr>
          <w:rFonts w:cstheme="minorHAnsi"/>
          <w:noProof/>
          <w:color w:val="000000" w:themeColor="text1"/>
        </w:rPr>
      </w:pPr>
      <w:r w:rsidRPr="00460E6A">
        <w:rPr>
          <w:rFonts w:cstheme="minorHAnsi"/>
          <w:noProof/>
          <w:color w:val="000000" w:themeColor="text1"/>
        </w:rPr>
        <w:t xml:space="preserve">Polanyi, K. (1957) “The semantics of money-uses” reprinted in Dalton, G. (ed.), </w:t>
      </w:r>
      <w:r w:rsidRPr="00460E6A">
        <w:rPr>
          <w:rFonts w:cstheme="minorHAnsi"/>
          <w:i/>
          <w:iCs/>
          <w:noProof/>
          <w:color w:val="000000" w:themeColor="text1"/>
        </w:rPr>
        <w:t>Primitive, Archaic and Modern Economies</w:t>
      </w:r>
      <w:r w:rsidRPr="00460E6A">
        <w:rPr>
          <w:rFonts w:cstheme="minorHAnsi"/>
          <w:noProof/>
          <w:color w:val="000000" w:themeColor="text1"/>
        </w:rPr>
        <w:t>, 175-203. Boston: Beacon Press, 1968</w:t>
      </w:r>
    </w:p>
    <w:p w14:paraId="25CD1CF0" w14:textId="77777777" w:rsidR="00017956" w:rsidRPr="00460E6A" w:rsidRDefault="00017956" w:rsidP="00460E6A">
      <w:pPr>
        <w:autoSpaceDE w:val="0"/>
        <w:autoSpaceDN w:val="0"/>
        <w:adjustRightInd w:val="0"/>
        <w:spacing w:before="120" w:after="0" w:line="240" w:lineRule="auto"/>
        <w:ind w:left="360" w:hanging="360"/>
        <w:rPr>
          <w:rFonts w:cstheme="minorHAnsi"/>
          <w:noProof/>
          <w:color w:val="000000" w:themeColor="text1"/>
        </w:rPr>
      </w:pPr>
      <w:r w:rsidRPr="00460E6A">
        <w:rPr>
          <w:rFonts w:cstheme="minorHAnsi"/>
          <w:noProof/>
          <w:color w:val="000000" w:themeColor="text1"/>
        </w:rPr>
        <w:t xml:space="preserve">Roberds, W. and Velde, F.R. (2016) “Early public banks II: Banks of issue” in Fox, D. and Ernst. W. (eds.) </w:t>
      </w:r>
      <w:r w:rsidRPr="00460E6A">
        <w:rPr>
          <w:rFonts w:cstheme="minorHAnsi"/>
          <w:i/>
          <w:noProof/>
          <w:color w:val="000000" w:themeColor="text1"/>
        </w:rPr>
        <w:t>Money in the Western Legal Tradition: Middle Ages to Bretton Woods</w:t>
      </w:r>
      <w:r w:rsidRPr="00460E6A">
        <w:rPr>
          <w:rFonts w:cstheme="minorHAnsi"/>
          <w:noProof/>
          <w:color w:val="000000" w:themeColor="text1"/>
        </w:rPr>
        <w:t>, 465-488. Oxford: Oxford University Press.</w:t>
      </w:r>
    </w:p>
    <w:p w14:paraId="48DBE533" w14:textId="77777777" w:rsidR="00017956" w:rsidRPr="00460E6A" w:rsidRDefault="00017956" w:rsidP="00460E6A">
      <w:pPr>
        <w:autoSpaceDE w:val="0"/>
        <w:autoSpaceDN w:val="0"/>
        <w:adjustRightInd w:val="0"/>
        <w:spacing w:before="120" w:after="0" w:line="240" w:lineRule="auto"/>
        <w:ind w:left="360" w:hanging="360"/>
        <w:rPr>
          <w:rFonts w:cstheme="minorHAnsi"/>
          <w:noProof/>
          <w:color w:val="000000" w:themeColor="text1"/>
        </w:rPr>
      </w:pPr>
      <w:r w:rsidRPr="00460E6A">
        <w:rPr>
          <w:rFonts w:cstheme="minorHAnsi"/>
          <w:noProof/>
          <w:color w:val="000000" w:themeColor="text1"/>
        </w:rPr>
        <w:t xml:space="preserve">Rochon, L.-P. and Vernengo, M. (2003) “State money and the real world: Or Chartalism and its discontents” </w:t>
      </w:r>
      <w:r w:rsidRPr="00460E6A">
        <w:rPr>
          <w:rFonts w:cstheme="minorHAnsi"/>
          <w:i/>
          <w:iCs/>
          <w:noProof/>
          <w:color w:val="000000" w:themeColor="text1"/>
        </w:rPr>
        <w:t>Journal of Post Keynesian Economic</w:t>
      </w:r>
      <w:r w:rsidRPr="00460E6A">
        <w:rPr>
          <w:rFonts w:cstheme="minorHAnsi"/>
          <w:iCs/>
          <w:noProof/>
          <w:color w:val="000000" w:themeColor="text1"/>
        </w:rPr>
        <w:t>,</w:t>
      </w:r>
      <w:r w:rsidRPr="00460E6A">
        <w:rPr>
          <w:rFonts w:cstheme="minorHAnsi"/>
          <w:i/>
          <w:iCs/>
          <w:noProof/>
          <w:color w:val="000000" w:themeColor="text1"/>
        </w:rPr>
        <w:t xml:space="preserve"> </w:t>
      </w:r>
      <w:r w:rsidRPr="00460E6A">
        <w:rPr>
          <w:rFonts w:cstheme="minorHAnsi"/>
          <w:noProof/>
          <w:color w:val="000000" w:themeColor="text1"/>
        </w:rPr>
        <w:t>26 (1): 57-68.</w:t>
      </w:r>
    </w:p>
    <w:p w14:paraId="36F4B057" w14:textId="77777777" w:rsidR="00CC1DAA" w:rsidRPr="00460E6A" w:rsidRDefault="00CC1DAA" w:rsidP="00460E6A">
      <w:pPr>
        <w:autoSpaceDE w:val="0"/>
        <w:autoSpaceDN w:val="0"/>
        <w:adjustRightInd w:val="0"/>
        <w:spacing w:before="120" w:after="0" w:line="240" w:lineRule="auto"/>
        <w:ind w:left="360" w:hanging="360"/>
        <w:rPr>
          <w:rFonts w:cstheme="minorHAnsi"/>
          <w:noProof/>
          <w:color w:val="000000" w:themeColor="text1"/>
        </w:rPr>
      </w:pPr>
      <w:r w:rsidRPr="00460E6A">
        <w:rPr>
          <w:rFonts w:cstheme="minorHAnsi"/>
          <w:noProof/>
          <w:color w:val="000000" w:themeColor="text1"/>
        </w:rPr>
        <w:t xml:space="preserve">Ron, A. and Valeonti, S. (2021) “The money war: An interpretation of democracy, depreciation, and taxes in the U.S. Civil War” Working paper. Accessed November 10, 2021 at </w:t>
      </w:r>
      <w:hyperlink r:id="rId10" w:history="1">
        <w:r w:rsidRPr="00460E6A">
          <w:rPr>
            <w:rStyle w:val="Hyperlink"/>
            <w:rFonts w:cstheme="minorHAnsi"/>
            <w:noProof/>
            <w:color w:val="000000" w:themeColor="text1"/>
          </w:rPr>
          <w:t>https://papers.ssrn.com/sol3/papers.cfm?abstract_id=3906049</w:t>
        </w:r>
      </w:hyperlink>
      <w:r w:rsidRPr="00460E6A">
        <w:rPr>
          <w:rFonts w:cstheme="minorHAnsi"/>
          <w:noProof/>
          <w:color w:val="000000" w:themeColor="text1"/>
        </w:rPr>
        <w:t xml:space="preserve"> </w:t>
      </w:r>
    </w:p>
    <w:p w14:paraId="68200441" w14:textId="77777777" w:rsidR="00017956" w:rsidRPr="00460E6A" w:rsidRDefault="00017956" w:rsidP="00460E6A">
      <w:pPr>
        <w:spacing w:before="120" w:after="0" w:line="240" w:lineRule="auto"/>
        <w:ind w:left="360" w:hanging="360"/>
        <w:jc w:val="both"/>
        <w:rPr>
          <w:rFonts w:eastAsia="Times New Roman" w:cstheme="minorHAnsi"/>
          <w:noProof/>
          <w:color w:val="000000" w:themeColor="text1"/>
        </w:rPr>
      </w:pPr>
      <w:r w:rsidRPr="00460E6A">
        <w:rPr>
          <w:rFonts w:cstheme="minorHAnsi"/>
          <w:noProof/>
          <w:color w:val="000000" w:themeColor="text1"/>
        </w:rPr>
        <w:t xml:space="preserve">Rüfner, T. (2016) “Money in the Roman law texts” in Fox, D. and Ernst. W. (eds.) </w:t>
      </w:r>
      <w:r w:rsidRPr="00460E6A">
        <w:rPr>
          <w:rFonts w:cstheme="minorHAnsi"/>
          <w:i/>
          <w:noProof/>
          <w:color w:val="000000" w:themeColor="text1"/>
        </w:rPr>
        <w:t>Money in the Western Legal Tradition: Middle Ages to Bretton Woods</w:t>
      </w:r>
      <w:r w:rsidRPr="00460E6A">
        <w:rPr>
          <w:rFonts w:cstheme="minorHAnsi"/>
          <w:noProof/>
          <w:color w:val="000000" w:themeColor="text1"/>
        </w:rPr>
        <w:t>, 93-109. Oxford: Oxford University Press.</w:t>
      </w:r>
    </w:p>
    <w:p w14:paraId="2F502B13" w14:textId="77777777" w:rsidR="00017956" w:rsidRPr="00460E6A" w:rsidRDefault="00017956" w:rsidP="00460E6A">
      <w:pPr>
        <w:autoSpaceDE w:val="0"/>
        <w:autoSpaceDN w:val="0"/>
        <w:adjustRightInd w:val="0"/>
        <w:spacing w:before="120" w:after="0" w:line="240" w:lineRule="auto"/>
        <w:ind w:left="360" w:hanging="360"/>
        <w:rPr>
          <w:rFonts w:cstheme="minorHAnsi"/>
          <w:noProof/>
          <w:color w:val="000000" w:themeColor="text1"/>
        </w:rPr>
      </w:pPr>
      <w:r w:rsidRPr="00460E6A">
        <w:rPr>
          <w:rFonts w:cstheme="minorHAnsi"/>
          <w:noProof/>
          <w:color w:val="000000" w:themeColor="text1"/>
        </w:rPr>
        <w:t xml:space="preserve">Schmandt-Besserat, D. (1992) </w:t>
      </w:r>
      <w:r w:rsidRPr="00460E6A">
        <w:rPr>
          <w:rFonts w:cstheme="minorHAnsi"/>
          <w:i/>
          <w:iCs/>
          <w:noProof/>
          <w:color w:val="000000" w:themeColor="text1"/>
        </w:rPr>
        <w:t>Before Writing</w:t>
      </w:r>
      <w:r w:rsidRPr="00460E6A">
        <w:rPr>
          <w:rFonts w:cstheme="minorHAnsi"/>
          <w:iCs/>
          <w:noProof/>
          <w:color w:val="000000" w:themeColor="text1"/>
        </w:rPr>
        <w:t>,</w:t>
      </w:r>
      <w:r w:rsidRPr="00460E6A">
        <w:rPr>
          <w:rFonts w:cstheme="minorHAnsi"/>
          <w:noProof/>
          <w:color w:val="000000" w:themeColor="text1"/>
        </w:rPr>
        <w:t xml:space="preserve"> Vol. 1. Austin: University of Texas Press.</w:t>
      </w:r>
    </w:p>
    <w:p w14:paraId="31913C3D" w14:textId="77777777" w:rsidR="00017956" w:rsidRPr="00460E6A" w:rsidRDefault="00017956" w:rsidP="00460E6A">
      <w:pPr>
        <w:autoSpaceDE w:val="0"/>
        <w:autoSpaceDN w:val="0"/>
        <w:adjustRightInd w:val="0"/>
        <w:spacing w:before="120" w:after="0" w:line="240" w:lineRule="auto"/>
        <w:ind w:left="360" w:hanging="360"/>
        <w:jc w:val="both"/>
        <w:rPr>
          <w:rFonts w:cstheme="minorHAnsi"/>
          <w:noProof/>
          <w:color w:val="000000" w:themeColor="text1"/>
        </w:rPr>
      </w:pPr>
      <w:r w:rsidRPr="00460E6A">
        <w:rPr>
          <w:rFonts w:cstheme="minorHAnsi"/>
          <w:noProof/>
          <w:color w:val="000000" w:themeColor="text1"/>
        </w:rPr>
        <w:t xml:space="preserve">Semenova, A. (2011) “Would you barter with God? Why holy debts and not profane markets created” </w:t>
      </w:r>
      <w:r w:rsidRPr="00460E6A">
        <w:rPr>
          <w:rFonts w:cstheme="minorHAnsi"/>
          <w:i/>
          <w:noProof/>
          <w:color w:val="000000" w:themeColor="text1"/>
        </w:rPr>
        <w:t>American Journal of Economics and Sociology</w:t>
      </w:r>
      <w:r w:rsidRPr="00460E6A">
        <w:rPr>
          <w:rFonts w:cstheme="minorHAnsi"/>
          <w:noProof/>
          <w:color w:val="000000" w:themeColor="text1"/>
        </w:rPr>
        <w:t>, 70 (2): 376-400.</w:t>
      </w:r>
    </w:p>
    <w:p w14:paraId="2BC0BCD0" w14:textId="77777777" w:rsidR="00017956" w:rsidRPr="00460E6A" w:rsidRDefault="00017956" w:rsidP="00460E6A">
      <w:pPr>
        <w:autoSpaceDE w:val="0"/>
        <w:autoSpaceDN w:val="0"/>
        <w:adjustRightInd w:val="0"/>
        <w:spacing w:before="120" w:after="0" w:line="240" w:lineRule="auto"/>
        <w:ind w:left="360" w:hanging="360"/>
        <w:rPr>
          <w:rFonts w:cstheme="minorHAnsi"/>
          <w:noProof/>
          <w:color w:val="000000" w:themeColor="text1"/>
        </w:rPr>
      </w:pPr>
      <w:r w:rsidRPr="00460E6A">
        <w:rPr>
          <w:rFonts w:cstheme="minorHAnsi"/>
          <w:noProof/>
          <w:color w:val="000000" w:themeColor="text1"/>
        </w:rPr>
        <w:t xml:space="preserve">Siekmann, H. (2016) “Deposit banking and the use of monetary instruments” in Fox, D. and Ernst. W. (eds.) </w:t>
      </w:r>
      <w:r w:rsidRPr="00460E6A">
        <w:rPr>
          <w:rFonts w:cstheme="minorHAnsi"/>
          <w:i/>
          <w:noProof/>
          <w:color w:val="000000" w:themeColor="text1"/>
        </w:rPr>
        <w:t>Money in the Western Legal Tradition: Middle Ages to Bretton Woods</w:t>
      </w:r>
      <w:r w:rsidRPr="00460E6A">
        <w:rPr>
          <w:rFonts w:cstheme="minorHAnsi"/>
          <w:noProof/>
          <w:color w:val="000000" w:themeColor="text1"/>
        </w:rPr>
        <w:t>, 489-531. Oxford: Oxford University Press.</w:t>
      </w:r>
    </w:p>
    <w:p w14:paraId="1C184A70" w14:textId="77777777" w:rsidR="00017956" w:rsidRPr="00460E6A" w:rsidRDefault="00017956" w:rsidP="00460E6A">
      <w:pPr>
        <w:spacing w:before="120" w:after="0" w:line="240" w:lineRule="auto"/>
        <w:ind w:left="360" w:hanging="360"/>
        <w:jc w:val="both"/>
        <w:rPr>
          <w:rFonts w:cstheme="minorHAnsi"/>
          <w:noProof/>
          <w:color w:val="000000" w:themeColor="text1"/>
        </w:rPr>
      </w:pPr>
      <w:r w:rsidRPr="00460E6A">
        <w:rPr>
          <w:rFonts w:cstheme="minorHAnsi"/>
          <w:noProof/>
          <w:color w:val="000000" w:themeColor="text1"/>
        </w:rPr>
        <w:t xml:space="preserve">Smith, T. (1832) </w:t>
      </w:r>
      <w:r w:rsidRPr="00460E6A">
        <w:rPr>
          <w:rFonts w:cstheme="minorHAnsi"/>
          <w:i/>
          <w:noProof/>
          <w:color w:val="000000" w:themeColor="text1"/>
        </w:rPr>
        <w:t>An Essay on Currency and Banking</w:t>
      </w:r>
      <w:r w:rsidRPr="00460E6A">
        <w:rPr>
          <w:rFonts w:cstheme="minorHAnsi"/>
          <w:noProof/>
          <w:color w:val="000000" w:themeColor="text1"/>
        </w:rPr>
        <w:t xml:space="preserve">. Philadelphia: Jasper Hardin. </w:t>
      </w:r>
    </w:p>
    <w:p w14:paraId="6AEC5A1D" w14:textId="77777777" w:rsidR="00017956" w:rsidRPr="00CF33F9" w:rsidRDefault="00017956" w:rsidP="00460E6A">
      <w:pPr>
        <w:autoSpaceDE w:val="0"/>
        <w:autoSpaceDN w:val="0"/>
        <w:adjustRightInd w:val="0"/>
        <w:spacing w:before="120" w:after="0" w:line="240" w:lineRule="auto"/>
        <w:ind w:left="360" w:hanging="360"/>
        <w:rPr>
          <w:rFonts w:cstheme="minorHAnsi"/>
          <w:noProof/>
          <w:color w:val="000000" w:themeColor="text1"/>
          <w:lang w:val="fr-FR"/>
        </w:rPr>
      </w:pPr>
      <w:r w:rsidRPr="00460E6A">
        <w:rPr>
          <w:rFonts w:cstheme="minorHAnsi"/>
          <w:noProof/>
          <w:color w:val="000000" w:themeColor="text1"/>
        </w:rPr>
        <w:t xml:space="preserve">Tcherneva, P.R. (2006) “Chartalism and the tax-driven approach to money” in Arestis, P. and Sawyer, M. (eds) </w:t>
      </w:r>
      <w:r w:rsidRPr="00460E6A">
        <w:rPr>
          <w:rFonts w:cstheme="minorHAnsi"/>
          <w:i/>
          <w:noProof/>
          <w:color w:val="000000" w:themeColor="text1"/>
        </w:rPr>
        <w:t>Handbook of Alternative Monetary Economics</w:t>
      </w:r>
      <w:r w:rsidRPr="00460E6A">
        <w:rPr>
          <w:rFonts w:cstheme="minorHAnsi"/>
          <w:noProof/>
          <w:color w:val="000000" w:themeColor="text1"/>
        </w:rPr>
        <w:t xml:space="preserve">, 69-86. </w:t>
      </w:r>
      <w:r w:rsidRPr="00CF33F9">
        <w:rPr>
          <w:rFonts w:cstheme="minorHAnsi"/>
          <w:noProof/>
          <w:color w:val="000000" w:themeColor="text1"/>
          <w:lang w:val="fr-FR"/>
        </w:rPr>
        <w:t>Northampton: Edward Elgar.</w:t>
      </w:r>
    </w:p>
    <w:p w14:paraId="7339C85C" w14:textId="77777777" w:rsidR="00AD2DCC" w:rsidRPr="00460E6A" w:rsidRDefault="00AD2DCC" w:rsidP="00460E6A">
      <w:pPr>
        <w:autoSpaceDE w:val="0"/>
        <w:autoSpaceDN w:val="0"/>
        <w:adjustRightInd w:val="0"/>
        <w:spacing w:before="120" w:after="0" w:line="240" w:lineRule="auto"/>
        <w:ind w:left="360" w:hanging="360"/>
        <w:jc w:val="both"/>
        <w:rPr>
          <w:rFonts w:cstheme="minorHAnsi"/>
          <w:color w:val="000000" w:themeColor="text1"/>
          <w:lang w:val="fr-FR"/>
        </w:rPr>
      </w:pPr>
      <w:r w:rsidRPr="00460E6A">
        <w:rPr>
          <w:rFonts w:cstheme="minorHAnsi"/>
          <w:color w:val="000000" w:themeColor="text1"/>
          <w:lang w:val="fr-FR"/>
        </w:rPr>
        <w:t xml:space="preserve">Thierry, F. (1993) “De la nature fiduciaire de la monnaie chinoise” </w:t>
      </w:r>
      <w:r w:rsidRPr="00460E6A">
        <w:rPr>
          <w:rFonts w:cstheme="minorHAnsi"/>
          <w:i/>
          <w:color w:val="000000" w:themeColor="text1"/>
          <w:lang w:val="fr-FR"/>
        </w:rPr>
        <w:t>Bulletin du Cercle d'Etudes Numismatiques</w:t>
      </w:r>
      <w:r w:rsidRPr="00460E6A">
        <w:rPr>
          <w:rFonts w:cstheme="minorHAnsi"/>
          <w:color w:val="000000" w:themeColor="text1"/>
          <w:lang w:val="fr-FR"/>
        </w:rPr>
        <w:t>, 30 (1): 1-12, 24.</w:t>
      </w:r>
    </w:p>
    <w:p w14:paraId="1B6B27C2" w14:textId="77777777" w:rsidR="00017956" w:rsidRPr="00460E6A" w:rsidRDefault="00017956" w:rsidP="00460E6A">
      <w:pPr>
        <w:spacing w:before="120" w:after="0" w:line="240" w:lineRule="auto"/>
        <w:ind w:left="360" w:hanging="360"/>
        <w:rPr>
          <w:rFonts w:cstheme="minorHAnsi"/>
          <w:noProof/>
          <w:color w:val="000000" w:themeColor="text1"/>
        </w:rPr>
      </w:pPr>
      <w:r w:rsidRPr="00460E6A">
        <w:rPr>
          <w:rFonts w:cstheme="minorHAnsi"/>
          <w:noProof/>
          <w:color w:val="000000" w:themeColor="text1"/>
        </w:rPr>
        <w:t xml:space="preserve">Tymoigne, E. (2014) “A financial analysis of monetary systems” in Papadimitriou, D.P (ed.) </w:t>
      </w:r>
      <w:r w:rsidRPr="00460E6A">
        <w:rPr>
          <w:rFonts w:cstheme="minorHAnsi"/>
          <w:i/>
          <w:noProof/>
          <w:color w:val="000000" w:themeColor="text1"/>
        </w:rPr>
        <w:t>Contributions to Economic Theory, Policy, Development and Finance</w:t>
      </w:r>
      <w:r w:rsidRPr="00460E6A">
        <w:rPr>
          <w:rFonts w:cstheme="minorHAnsi"/>
          <w:noProof/>
          <w:color w:val="000000" w:themeColor="text1"/>
        </w:rPr>
        <w:t>, 88-113. New York: Palgrave Macmillan.</w:t>
      </w:r>
    </w:p>
    <w:p w14:paraId="78E0F778" w14:textId="77777777" w:rsidR="00017956" w:rsidRPr="00460E6A" w:rsidRDefault="00017956" w:rsidP="00460E6A">
      <w:pPr>
        <w:spacing w:before="120" w:after="0" w:line="240" w:lineRule="auto"/>
        <w:ind w:left="360" w:hanging="360"/>
        <w:jc w:val="both"/>
        <w:rPr>
          <w:rFonts w:cstheme="minorHAnsi"/>
          <w:noProof/>
          <w:color w:val="000000" w:themeColor="text1"/>
        </w:rPr>
      </w:pPr>
      <w:r w:rsidRPr="00460E6A">
        <w:rPr>
          <w:rFonts w:cstheme="minorHAnsi"/>
          <w:noProof/>
          <w:color w:val="000000" w:themeColor="text1"/>
        </w:rPr>
        <w:t xml:space="preserve">_____. (2016) “Government monetary and fiscal operations: Generalizing the endogenous money approach” </w:t>
      </w:r>
      <w:r w:rsidRPr="00460E6A">
        <w:rPr>
          <w:rFonts w:cstheme="minorHAnsi"/>
          <w:i/>
          <w:noProof/>
          <w:color w:val="000000" w:themeColor="text1"/>
        </w:rPr>
        <w:t>Cambridge Journal of Economics</w:t>
      </w:r>
      <w:r w:rsidRPr="00460E6A">
        <w:rPr>
          <w:rFonts w:cstheme="minorHAnsi"/>
          <w:noProof/>
          <w:color w:val="000000" w:themeColor="text1"/>
        </w:rPr>
        <w:t>, 40 (5): 1317-1332.</w:t>
      </w:r>
    </w:p>
    <w:p w14:paraId="6982A70F" w14:textId="77777777" w:rsidR="00017956" w:rsidRPr="00460E6A" w:rsidRDefault="003F5A8F" w:rsidP="00460E6A">
      <w:pPr>
        <w:autoSpaceDE w:val="0"/>
        <w:autoSpaceDN w:val="0"/>
        <w:adjustRightInd w:val="0"/>
        <w:spacing w:before="120" w:after="0" w:line="240" w:lineRule="auto"/>
        <w:ind w:left="360" w:hanging="360"/>
        <w:rPr>
          <w:rFonts w:cstheme="minorHAnsi"/>
          <w:noProof/>
          <w:color w:val="000000" w:themeColor="text1"/>
        </w:rPr>
      </w:pPr>
      <w:r w:rsidRPr="00460E6A">
        <w:rPr>
          <w:rFonts w:cstheme="minorHAnsi"/>
          <w:noProof/>
          <w:color w:val="000000" w:themeColor="text1"/>
        </w:rPr>
        <w:lastRenderedPageBreak/>
        <w:t>_____. (2020</w:t>
      </w:r>
      <w:r w:rsidR="00017956" w:rsidRPr="00460E6A">
        <w:rPr>
          <w:rFonts w:cstheme="minorHAnsi"/>
          <w:noProof/>
          <w:color w:val="000000" w:themeColor="text1"/>
        </w:rPr>
        <w:t xml:space="preserve">) “Law, sovereignty and the monetization of the European economies: a review of Making Money and Money in the Western Legal Tradition” </w:t>
      </w:r>
      <w:r w:rsidR="00017956" w:rsidRPr="00460E6A">
        <w:rPr>
          <w:rFonts w:cstheme="minorHAnsi"/>
          <w:i/>
          <w:noProof/>
          <w:color w:val="000000" w:themeColor="text1"/>
        </w:rPr>
        <w:t>Journal of Post Keynesian Economics</w:t>
      </w:r>
      <w:r w:rsidR="00017956" w:rsidRPr="00460E6A">
        <w:rPr>
          <w:rFonts w:cstheme="minorHAnsi"/>
          <w:noProof/>
          <w:color w:val="000000" w:themeColor="text1"/>
        </w:rPr>
        <w:t>, 43 (2): 317-340.</w:t>
      </w:r>
    </w:p>
    <w:p w14:paraId="544FDD03" w14:textId="77777777" w:rsidR="00017956" w:rsidRPr="00460E6A" w:rsidRDefault="00017956" w:rsidP="00460E6A">
      <w:pPr>
        <w:spacing w:before="120" w:after="0" w:line="240" w:lineRule="auto"/>
        <w:ind w:left="360" w:hanging="360"/>
        <w:jc w:val="both"/>
        <w:rPr>
          <w:rFonts w:cstheme="minorHAnsi"/>
          <w:noProof/>
          <w:color w:val="000000" w:themeColor="text1"/>
        </w:rPr>
      </w:pPr>
      <w:r w:rsidRPr="00460E6A">
        <w:rPr>
          <w:rFonts w:cstheme="minorHAnsi"/>
          <w:noProof/>
          <w:color w:val="000000" w:themeColor="text1"/>
        </w:rPr>
        <w:t xml:space="preserve">Tymoigne, E. and Wray, L.R. (2006) </w:t>
      </w:r>
      <w:r w:rsidRPr="00460E6A">
        <w:rPr>
          <w:rFonts w:cstheme="minorHAnsi"/>
          <w:bCs/>
          <w:noProof/>
          <w:color w:val="000000" w:themeColor="text1"/>
        </w:rPr>
        <w:t xml:space="preserve">“Money: An alternative story” in Arestis, P. and Sawyer, M. (eds.), </w:t>
      </w:r>
      <w:r w:rsidRPr="00460E6A">
        <w:rPr>
          <w:rFonts w:cstheme="minorHAnsi"/>
          <w:bCs/>
          <w:i/>
          <w:noProof/>
          <w:color w:val="000000" w:themeColor="text1"/>
        </w:rPr>
        <w:t>Handbook of Alternative Monetary Economics</w:t>
      </w:r>
      <w:r w:rsidRPr="00460E6A">
        <w:rPr>
          <w:rFonts w:cstheme="minorHAnsi"/>
          <w:bCs/>
          <w:noProof/>
          <w:color w:val="000000" w:themeColor="text1"/>
        </w:rPr>
        <w:t xml:space="preserve">, 1-16. Northampton: Edward Elgar. </w:t>
      </w:r>
    </w:p>
    <w:p w14:paraId="16DEB1E1" w14:textId="77777777" w:rsidR="00017956" w:rsidRPr="00460E6A" w:rsidRDefault="00017956" w:rsidP="00460E6A">
      <w:pPr>
        <w:autoSpaceDE w:val="0"/>
        <w:autoSpaceDN w:val="0"/>
        <w:adjustRightInd w:val="0"/>
        <w:spacing w:before="120" w:after="0" w:line="240" w:lineRule="auto"/>
        <w:ind w:left="360" w:hanging="360"/>
        <w:rPr>
          <w:rFonts w:cstheme="minorHAnsi"/>
          <w:noProof/>
          <w:color w:val="000000" w:themeColor="text1"/>
        </w:rPr>
      </w:pPr>
      <w:r w:rsidRPr="00460E6A">
        <w:rPr>
          <w:rFonts w:cstheme="minorHAnsi"/>
          <w:noProof/>
          <w:color w:val="000000" w:themeColor="text1"/>
        </w:rPr>
        <w:t xml:space="preserve">Velde, F.R. (2016) “Hyperinflations of the early twentieth century” in Fox, D. and Ernst. W. (eds.) </w:t>
      </w:r>
      <w:r w:rsidRPr="00460E6A">
        <w:rPr>
          <w:rFonts w:cstheme="minorHAnsi"/>
          <w:i/>
          <w:noProof/>
          <w:color w:val="000000" w:themeColor="text1"/>
        </w:rPr>
        <w:t>Money in the Western Legal Tradition: Middle Ages to Bretton Woods</w:t>
      </w:r>
      <w:r w:rsidRPr="00460E6A">
        <w:rPr>
          <w:rFonts w:cstheme="minorHAnsi"/>
          <w:noProof/>
          <w:color w:val="000000" w:themeColor="text1"/>
        </w:rPr>
        <w:t>, 653-687. Oxford: Oxford University Press.</w:t>
      </w:r>
    </w:p>
    <w:p w14:paraId="785ACCE4" w14:textId="77777777" w:rsidR="00CC1DAA" w:rsidRPr="00460E6A" w:rsidRDefault="00CC1DAA" w:rsidP="00460E6A">
      <w:pPr>
        <w:autoSpaceDE w:val="0"/>
        <w:autoSpaceDN w:val="0"/>
        <w:adjustRightInd w:val="0"/>
        <w:spacing w:before="120" w:after="0" w:line="240" w:lineRule="auto"/>
        <w:ind w:left="360" w:hanging="360"/>
        <w:rPr>
          <w:rFonts w:cstheme="minorHAnsi"/>
          <w:noProof/>
          <w:color w:val="000000" w:themeColor="text1"/>
        </w:rPr>
      </w:pPr>
      <w:r w:rsidRPr="00460E6A">
        <w:rPr>
          <w:rFonts w:cstheme="minorHAnsi"/>
          <w:noProof/>
          <w:color w:val="000000" w:themeColor="text1"/>
        </w:rPr>
        <w:t xml:space="preserve">Vernengo, M. and Caldentey, P.E. (2020) “Modern Money Theory (MMT) in the Tropics: Functional Finance in developing countries” </w:t>
      </w:r>
      <w:r w:rsidRPr="00460E6A">
        <w:rPr>
          <w:rFonts w:cstheme="minorHAnsi"/>
          <w:i/>
          <w:noProof/>
          <w:color w:val="000000" w:themeColor="text1"/>
        </w:rPr>
        <w:t>Challenge</w:t>
      </w:r>
      <w:r w:rsidRPr="00460E6A">
        <w:rPr>
          <w:rFonts w:cstheme="minorHAnsi"/>
          <w:noProof/>
          <w:color w:val="000000" w:themeColor="text1"/>
        </w:rPr>
        <w:t>, 63 (6): 332-348.</w:t>
      </w:r>
    </w:p>
    <w:p w14:paraId="4E7343F5" w14:textId="77777777" w:rsidR="00017956" w:rsidRPr="00460E6A" w:rsidRDefault="00017956" w:rsidP="00460E6A">
      <w:pPr>
        <w:spacing w:before="120" w:after="0" w:line="240" w:lineRule="auto"/>
        <w:ind w:left="360" w:hanging="360"/>
        <w:rPr>
          <w:rFonts w:cstheme="minorHAnsi"/>
          <w:noProof/>
          <w:color w:val="000000" w:themeColor="text1"/>
        </w:rPr>
      </w:pPr>
      <w:r w:rsidRPr="00460E6A">
        <w:rPr>
          <w:rFonts w:cstheme="minorHAnsi"/>
          <w:noProof/>
          <w:color w:val="000000" w:themeColor="text1"/>
        </w:rPr>
        <w:t xml:space="preserve">Wray, L.R. (1990) </w:t>
      </w:r>
      <w:r w:rsidRPr="00460E6A">
        <w:rPr>
          <w:rFonts w:cstheme="minorHAnsi"/>
          <w:i/>
          <w:iCs/>
          <w:noProof/>
          <w:color w:val="000000" w:themeColor="text1"/>
        </w:rPr>
        <w:t>Money and Credit in Capitalist Economies: The Endogenous Money Approach</w:t>
      </w:r>
      <w:r w:rsidRPr="00460E6A">
        <w:rPr>
          <w:rFonts w:cstheme="minorHAnsi"/>
          <w:noProof/>
          <w:color w:val="000000" w:themeColor="text1"/>
        </w:rPr>
        <w:t>, Aldershot: Edward Elgar.</w:t>
      </w:r>
    </w:p>
    <w:p w14:paraId="3702F508" w14:textId="77777777" w:rsidR="00017956" w:rsidRPr="00460E6A" w:rsidRDefault="00017956" w:rsidP="00460E6A">
      <w:pPr>
        <w:spacing w:before="120" w:after="0" w:line="240" w:lineRule="auto"/>
        <w:ind w:left="360" w:hanging="360"/>
        <w:rPr>
          <w:rFonts w:cstheme="minorHAnsi"/>
          <w:noProof/>
          <w:color w:val="000000" w:themeColor="text1"/>
        </w:rPr>
      </w:pPr>
      <w:r w:rsidRPr="00460E6A">
        <w:rPr>
          <w:rFonts w:cstheme="minorHAnsi"/>
          <w:noProof/>
          <w:color w:val="000000" w:themeColor="text1"/>
        </w:rPr>
        <w:t xml:space="preserve">_____. (1998) </w:t>
      </w:r>
      <w:r w:rsidRPr="00460E6A">
        <w:rPr>
          <w:rFonts w:cstheme="minorHAnsi"/>
          <w:i/>
          <w:iCs/>
          <w:noProof/>
          <w:color w:val="000000" w:themeColor="text1"/>
        </w:rPr>
        <w:t>Understanding Modern Money: The Key to Full Employment and Price Stability</w:t>
      </w:r>
      <w:r w:rsidRPr="00460E6A">
        <w:rPr>
          <w:rFonts w:cstheme="minorHAnsi"/>
          <w:noProof/>
          <w:color w:val="000000" w:themeColor="text1"/>
        </w:rPr>
        <w:t xml:space="preserve">. Northampton: Edward Elgar. </w:t>
      </w:r>
    </w:p>
    <w:p w14:paraId="077F0462" w14:textId="77777777" w:rsidR="00017956" w:rsidRPr="00460E6A" w:rsidRDefault="00017956" w:rsidP="00460E6A">
      <w:pPr>
        <w:spacing w:before="120" w:after="0" w:line="240" w:lineRule="auto"/>
        <w:ind w:left="360" w:hanging="360"/>
        <w:rPr>
          <w:rFonts w:cstheme="minorHAnsi"/>
          <w:noProof/>
          <w:color w:val="000000" w:themeColor="text1"/>
        </w:rPr>
      </w:pPr>
      <w:r w:rsidRPr="00460E6A">
        <w:rPr>
          <w:rFonts w:cstheme="minorHAnsi"/>
          <w:noProof/>
          <w:color w:val="000000" w:themeColor="text1"/>
        </w:rPr>
        <w:t>_____. (2003b) “Is Euroland the next Argentina?” Center for Full Employment and Price Stability, Working Paper No. 23.</w:t>
      </w:r>
    </w:p>
    <w:sectPr w:rsidR="00017956" w:rsidRPr="00460E6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A64164"/>
    <w:multiLevelType w:val="hybridMultilevel"/>
    <w:tmpl w:val="0180FE6A"/>
    <w:lvl w:ilvl="0" w:tplc="C1346F6C">
      <w:start w:val="22"/>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87877AF"/>
    <w:multiLevelType w:val="hybridMultilevel"/>
    <w:tmpl w:val="EA02E552"/>
    <w:lvl w:ilvl="0" w:tplc="0409000F">
      <w:start w:val="1"/>
      <w:numFmt w:val="decimal"/>
      <w:lvlText w:val="%1."/>
      <w:lvlJc w:val="left"/>
      <w:pPr>
        <w:tabs>
          <w:tab w:val="num" w:pos="1428"/>
        </w:tabs>
        <w:ind w:left="1428" w:hanging="360"/>
      </w:pPr>
      <w:rPr>
        <w:rFonts w:hint="default"/>
      </w:rPr>
    </w:lvl>
    <w:lvl w:ilvl="1" w:tplc="04090019" w:tentative="1">
      <w:start w:val="1"/>
      <w:numFmt w:val="lowerLetter"/>
      <w:lvlText w:val="%2."/>
      <w:lvlJc w:val="left"/>
      <w:pPr>
        <w:tabs>
          <w:tab w:val="num" w:pos="2148"/>
        </w:tabs>
        <w:ind w:left="2148" w:hanging="360"/>
      </w:pPr>
    </w:lvl>
    <w:lvl w:ilvl="2" w:tplc="0409001B" w:tentative="1">
      <w:start w:val="1"/>
      <w:numFmt w:val="lowerRoman"/>
      <w:lvlText w:val="%3."/>
      <w:lvlJc w:val="right"/>
      <w:pPr>
        <w:tabs>
          <w:tab w:val="num" w:pos="2868"/>
        </w:tabs>
        <w:ind w:left="2868" w:hanging="180"/>
      </w:pPr>
    </w:lvl>
    <w:lvl w:ilvl="3" w:tplc="0409000F" w:tentative="1">
      <w:start w:val="1"/>
      <w:numFmt w:val="decimal"/>
      <w:lvlText w:val="%4."/>
      <w:lvlJc w:val="left"/>
      <w:pPr>
        <w:tabs>
          <w:tab w:val="num" w:pos="3588"/>
        </w:tabs>
        <w:ind w:left="3588" w:hanging="360"/>
      </w:pPr>
    </w:lvl>
    <w:lvl w:ilvl="4" w:tplc="04090019" w:tentative="1">
      <w:start w:val="1"/>
      <w:numFmt w:val="lowerLetter"/>
      <w:lvlText w:val="%5."/>
      <w:lvlJc w:val="left"/>
      <w:pPr>
        <w:tabs>
          <w:tab w:val="num" w:pos="4308"/>
        </w:tabs>
        <w:ind w:left="4308" w:hanging="360"/>
      </w:pPr>
    </w:lvl>
    <w:lvl w:ilvl="5" w:tplc="0409001B" w:tentative="1">
      <w:start w:val="1"/>
      <w:numFmt w:val="lowerRoman"/>
      <w:lvlText w:val="%6."/>
      <w:lvlJc w:val="right"/>
      <w:pPr>
        <w:tabs>
          <w:tab w:val="num" w:pos="5028"/>
        </w:tabs>
        <w:ind w:left="5028" w:hanging="180"/>
      </w:pPr>
    </w:lvl>
    <w:lvl w:ilvl="6" w:tplc="0409000F" w:tentative="1">
      <w:start w:val="1"/>
      <w:numFmt w:val="decimal"/>
      <w:lvlText w:val="%7."/>
      <w:lvlJc w:val="left"/>
      <w:pPr>
        <w:tabs>
          <w:tab w:val="num" w:pos="5748"/>
        </w:tabs>
        <w:ind w:left="5748" w:hanging="360"/>
      </w:pPr>
    </w:lvl>
    <w:lvl w:ilvl="7" w:tplc="04090019" w:tentative="1">
      <w:start w:val="1"/>
      <w:numFmt w:val="lowerLetter"/>
      <w:lvlText w:val="%8."/>
      <w:lvlJc w:val="left"/>
      <w:pPr>
        <w:tabs>
          <w:tab w:val="num" w:pos="6468"/>
        </w:tabs>
        <w:ind w:left="6468" w:hanging="360"/>
      </w:pPr>
    </w:lvl>
    <w:lvl w:ilvl="8" w:tplc="0409001B" w:tentative="1">
      <w:start w:val="1"/>
      <w:numFmt w:val="lowerRoman"/>
      <w:lvlText w:val="%9."/>
      <w:lvlJc w:val="right"/>
      <w:pPr>
        <w:tabs>
          <w:tab w:val="num" w:pos="7188"/>
        </w:tabs>
        <w:ind w:left="7188" w:hanging="180"/>
      </w:pPr>
    </w:lvl>
  </w:abstractNum>
  <w:abstractNum w:abstractNumId="2" w15:restartNumberingAfterBreak="0">
    <w:nsid w:val="5D77616A"/>
    <w:multiLevelType w:val="hybridMultilevel"/>
    <w:tmpl w:val="EDA46DE8"/>
    <w:lvl w:ilvl="0" w:tplc="6BE0E5C2">
      <w:start w:val="1978"/>
      <w:numFmt w:val="bullet"/>
      <w:lvlText w:val="—"/>
      <w:lvlJc w:val="left"/>
      <w:pPr>
        <w:ind w:left="450" w:hanging="400"/>
      </w:pPr>
      <w:rPr>
        <w:rFonts w:ascii="Calibri" w:eastAsiaTheme="minorHAnsi" w:hAnsi="Calibri" w:cs="Calibri" w:hint="default"/>
      </w:rPr>
    </w:lvl>
    <w:lvl w:ilvl="1" w:tplc="04090003" w:tentative="1">
      <w:start w:val="1"/>
      <w:numFmt w:val="bullet"/>
      <w:lvlText w:val="o"/>
      <w:lvlJc w:val="left"/>
      <w:pPr>
        <w:ind w:left="1130" w:hanging="360"/>
      </w:pPr>
      <w:rPr>
        <w:rFonts w:ascii="Courier New" w:hAnsi="Courier New" w:cs="Courier New" w:hint="default"/>
      </w:rPr>
    </w:lvl>
    <w:lvl w:ilvl="2" w:tplc="04090005" w:tentative="1">
      <w:start w:val="1"/>
      <w:numFmt w:val="bullet"/>
      <w:lvlText w:val=""/>
      <w:lvlJc w:val="left"/>
      <w:pPr>
        <w:ind w:left="1850" w:hanging="360"/>
      </w:pPr>
      <w:rPr>
        <w:rFonts w:ascii="Wingdings" w:hAnsi="Wingdings" w:hint="default"/>
      </w:rPr>
    </w:lvl>
    <w:lvl w:ilvl="3" w:tplc="04090001" w:tentative="1">
      <w:start w:val="1"/>
      <w:numFmt w:val="bullet"/>
      <w:lvlText w:val=""/>
      <w:lvlJc w:val="left"/>
      <w:pPr>
        <w:ind w:left="2570" w:hanging="360"/>
      </w:pPr>
      <w:rPr>
        <w:rFonts w:ascii="Symbol" w:hAnsi="Symbol" w:hint="default"/>
      </w:rPr>
    </w:lvl>
    <w:lvl w:ilvl="4" w:tplc="04090003" w:tentative="1">
      <w:start w:val="1"/>
      <w:numFmt w:val="bullet"/>
      <w:lvlText w:val="o"/>
      <w:lvlJc w:val="left"/>
      <w:pPr>
        <w:ind w:left="3290" w:hanging="360"/>
      </w:pPr>
      <w:rPr>
        <w:rFonts w:ascii="Courier New" w:hAnsi="Courier New" w:cs="Courier New" w:hint="default"/>
      </w:rPr>
    </w:lvl>
    <w:lvl w:ilvl="5" w:tplc="04090005" w:tentative="1">
      <w:start w:val="1"/>
      <w:numFmt w:val="bullet"/>
      <w:lvlText w:val=""/>
      <w:lvlJc w:val="left"/>
      <w:pPr>
        <w:ind w:left="4010" w:hanging="360"/>
      </w:pPr>
      <w:rPr>
        <w:rFonts w:ascii="Wingdings" w:hAnsi="Wingdings" w:hint="default"/>
      </w:rPr>
    </w:lvl>
    <w:lvl w:ilvl="6" w:tplc="04090001" w:tentative="1">
      <w:start w:val="1"/>
      <w:numFmt w:val="bullet"/>
      <w:lvlText w:val=""/>
      <w:lvlJc w:val="left"/>
      <w:pPr>
        <w:ind w:left="4730" w:hanging="360"/>
      </w:pPr>
      <w:rPr>
        <w:rFonts w:ascii="Symbol" w:hAnsi="Symbol" w:hint="default"/>
      </w:rPr>
    </w:lvl>
    <w:lvl w:ilvl="7" w:tplc="04090003" w:tentative="1">
      <w:start w:val="1"/>
      <w:numFmt w:val="bullet"/>
      <w:lvlText w:val="o"/>
      <w:lvlJc w:val="left"/>
      <w:pPr>
        <w:ind w:left="5450" w:hanging="360"/>
      </w:pPr>
      <w:rPr>
        <w:rFonts w:ascii="Courier New" w:hAnsi="Courier New" w:cs="Courier New" w:hint="default"/>
      </w:rPr>
    </w:lvl>
    <w:lvl w:ilvl="8" w:tplc="04090005" w:tentative="1">
      <w:start w:val="1"/>
      <w:numFmt w:val="bullet"/>
      <w:lvlText w:val=""/>
      <w:lvlJc w:val="left"/>
      <w:pPr>
        <w:ind w:left="617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7956"/>
    <w:rsid w:val="00017956"/>
    <w:rsid w:val="00021587"/>
    <w:rsid w:val="00024DD7"/>
    <w:rsid w:val="000308E9"/>
    <w:rsid w:val="00056AC9"/>
    <w:rsid w:val="0005766D"/>
    <w:rsid w:val="000660D2"/>
    <w:rsid w:val="000B15A5"/>
    <w:rsid w:val="000C0B0A"/>
    <w:rsid w:val="000C473E"/>
    <w:rsid w:val="000C6098"/>
    <w:rsid w:val="000C7E5F"/>
    <w:rsid w:val="000F3F14"/>
    <w:rsid w:val="00116747"/>
    <w:rsid w:val="001835B3"/>
    <w:rsid w:val="0018702D"/>
    <w:rsid w:val="001C23DB"/>
    <w:rsid w:val="001E6766"/>
    <w:rsid w:val="001F2235"/>
    <w:rsid w:val="001F3BCD"/>
    <w:rsid w:val="00227420"/>
    <w:rsid w:val="002368BF"/>
    <w:rsid w:val="00236CF1"/>
    <w:rsid w:val="00247D0E"/>
    <w:rsid w:val="00266F54"/>
    <w:rsid w:val="00273BB4"/>
    <w:rsid w:val="002D446E"/>
    <w:rsid w:val="002E0EE8"/>
    <w:rsid w:val="002F5524"/>
    <w:rsid w:val="003153A9"/>
    <w:rsid w:val="0035590B"/>
    <w:rsid w:val="00373597"/>
    <w:rsid w:val="00381FA1"/>
    <w:rsid w:val="00391BFB"/>
    <w:rsid w:val="003B0B66"/>
    <w:rsid w:val="003B1C1C"/>
    <w:rsid w:val="003F5A8F"/>
    <w:rsid w:val="00437A11"/>
    <w:rsid w:val="00460E6A"/>
    <w:rsid w:val="00463236"/>
    <w:rsid w:val="004C084A"/>
    <w:rsid w:val="005079F7"/>
    <w:rsid w:val="005113CD"/>
    <w:rsid w:val="005A1F1A"/>
    <w:rsid w:val="005B1229"/>
    <w:rsid w:val="005E39A6"/>
    <w:rsid w:val="005F010B"/>
    <w:rsid w:val="00613D3E"/>
    <w:rsid w:val="006558B9"/>
    <w:rsid w:val="00681C02"/>
    <w:rsid w:val="006E5042"/>
    <w:rsid w:val="00726D42"/>
    <w:rsid w:val="007322EE"/>
    <w:rsid w:val="00732835"/>
    <w:rsid w:val="007363BC"/>
    <w:rsid w:val="007C390F"/>
    <w:rsid w:val="007C55F5"/>
    <w:rsid w:val="007D0149"/>
    <w:rsid w:val="008353C0"/>
    <w:rsid w:val="0084179E"/>
    <w:rsid w:val="00845DDC"/>
    <w:rsid w:val="00866C6D"/>
    <w:rsid w:val="00895EE9"/>
    <w:rsid w:val="008D7AD4"/>
    <w:rsid w:val="00902E8C"/>
    <w:rsid w:val="009220FD"/>
    <w:rsid w:val="00934A94"/>
    <w:rsid w:val="009764F0"/>
    <w:rsid w:val="009A19D6"/>
    <w:rsid w:val="009A78FD"/>
    <w:rsid w:val="009E14D3"/>
    <w:rsid w:val="00A049BD"/>
    <w:rsid w:val="00A26EFB"/>
    <w:rsid w:val="00A343BA"/>
    <w:rsid w:val="00AA12E2"/>
    <w:rsid w:val="00AB271F"/>
    <w:rsid w:val="00AC7661"/>
    <w:rsid w:val="00AD142F"/>
    <w:rsid w:val="00AD2DCC"/>
    <w:rsid w:val="00AD67BE"/>
    <w:rsid w:val="00B543BE"/>
    <w:rsid w:val="00BA04C6"/>
    <w:rsid w:val="00BD26EF"/>
    <w:rsid w:val="00BE2627"/>
    <w:rsid w:val="00BF146B"/>
    <w:rsid w:val="00C4206A"/>
    <w:rsid w:val="00CA26C1"/>
    <w:rsid w:val="00CC1BEE"/>
    <w:rsid w:val="00CC1DAA"/>
    <w:rsid w:val="00CE003C"/>
    <w:rsid w:val="00CE4A9C"/>
    <w:rsid w:val="00CF33F9"/>
    <w:rsid w:val="00D17ACA"/>
    <w:rsid w:val="00D50116"/>
    <w:rsid w:val="00DB624D"/>
    <w:rsid w:val="00E12A98"/>
    <w:rsid w:val="00E62598"/>
    <w:rsid w:val="00E70AEA"/>
    <w:rsid w:val="00EA6985"/>
    <w:rsid w:val="00EB3AA0"/>
    <w:rsid w:val="00EC0A62"/>
    <w:rsid w:val="00EF7754"/>
    <w:rsid w:val="00EF77A5"/>
    <w:rsid w:val="00F11619"/>
    <w:rsid w:val="00F3167D"/>
    <w:rsid w:val="00F6073C"/>
    <w:rsid w:val="00F7581E"/>
    <w:rsid w:val="00FC335B"/>
    <w:rsid w:val="00FE15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04F0A"/>
  <w15:chartTrackingRefBased/>
  <w15:docId w15:val="{918188EE-77C2-4CB7-8D0B-4E8EA0396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7956"/>
  </w:style>
  <w:style w:type="paragraph" w:styleId="Heading1">
    <w:name w:val="heading 1"/>
    <w:basedOn w:val="Normal"/>
    <w:next w:val="Normal"/>
    <w:link w:val="Heading1Char"/>
    <w:uiPriority w:val="9"/>
    <w:qFormat/>
    <w:rsid w:val="00A343BA"/>
    <w:pPr>
      <w:keepNext/>
      <w:keepLines/>
      <w:spacing w:before="240" w:after="0"/>
      <w:outlineLvl w:val="0"/>
    </w:pPr>
    <w:rPr>
      <w:rFonts w:asciiTheme="majorHAnsi" w:eastAsiaTheme="majorEastAsia" w:hAnsiTheme="majorHAnsi" w:cstheme="majorBidi"/>
      <w:b/>
      <w:sz w:val="32"/>
      <w:szCs w:val="32"/>
      <w:u w:val="double"/>
    </w:rPr>
  </w:style>
  <w:style w:type="paragraph" w:styleId="Heading2">
    <w:name w:val="heading 2"/>
    <w:basedOn w:val="Normal"/>
    <w:next w:val="Normal"/>
    <w:link w:val="Heading2Char"/>
    <w:uiPriority w:val="9"/>
    <w:unhideWhenUsed/>
    <w:qFormat/>
    <w:rsid w:val="007322E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322E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017956"/>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017956"/>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43BA"/>
    <w:rPr>
      <w:rFonts w:asciiTheme="majorHAnsi" w:eastAsiaTheme="majorEastAsia" w:hAnsiTheme="majorHAnsi" w:cstheme="majorBidi"/>
      <w:b/>
      <w:sz w:val="32"/>
      <w:szCs w:val="32"/>
      <w:u w:val="double"/>
    </w:rPr>
  </w:style>
  <w:style w:type="character" w:customStyle="1" w:styleId="Heading2Char">
    <w:name w:val="Heading 2 Char"/>
    <w:basedOn w:val="DefaultParagraphFont"/>
    <w:link w:val="Heading2"/>
    <w:uiPriority w:val="9"/>
    <w:rsid w:val="007322EE"/>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7322EE"/>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017956"/>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017956"/>
    <w:rPr>
      <w:rFonts w:asciiTheme="majorHAnsi" w:eastAsiaTheme="majorEastAsia" w:hAnsiTheme="majorHAnsi" w:cstheme="majorBidi"/>
      <w:color w:val="2E74B5" w:themeColor="accent1" w:themeShade="BF"/>
    </w:rPr>
  </w:style>
  <w:style w:type="paragraph" w:styleId="Title">
    <w:name w:val="Title"/>
    <w:basedOn w:val="Normal"/>
    <w:next w:val="Normal"/>
    <w:link w:val="TitleChar"/>
    <w:uiPriority w:val="10"/>
    <w:qFormat/>
    <w:rsid w:val="007322EE"/>
    <w:pPr>
      <w:spacing w:after="0" w:line="240" w:lineRule="auto"/>
      <w:contextualSpacing/>
      <w:jc w:val="center"/>
    </w:pPr>
    <w:rPr>
      <w:rFonts w:asciiTheme="majorHAnsi" w:eastAsiaTheme="majorEastAsia" w:hAnsiTheme="majorHAnsi" w:cstheme="majorBidi"/>
      <w:b/>
      <w:spacing w:val="-10"/>
      <w:kern w:val="28"/>
      <w:sz w:val="56"/>
      <w:szCs w:val="56"/>
    </w:rPr>
  </w:style>
  <w:style w:type="character" w:customStyle="1" w:styleId="TitleChar">
    <w:name w:val="Title Char"/>
    <w:basedOn w:val="DefaultParagraphFont"/>
    <w:link w:val="Title"/>
    <w:uiPriority w:val="10"/>
    <w:rsid w:val="007322EE"/>
    <w:rPr>
      <w:rFonts w:asciiTheme="majorHAnsi" w:eastAsiaTheme="majorEastAsia" w:hAnsiTheme="majorHAnsi" w:cstheme="majorBidi"/>
      <w:b/>
      <w:spacing w:val="-10"/>
      <w:kern w:val="28"/>
      <w:sz w:val="56"/>
      <w:szCs w:val="56"/>
    </w:rPr>
  </w:style>
  <w:style w:type="character" w:customStyle="1" w:styleId="css-901oao">
    <w:name w:val="css-901oao"/>
    <w:basedOn w:val="DefaultParagraphFont"/>
    <w:rsid w:val="00017956"/>
  </w:style>
  <w:style w:type="paragraph" w:styleId="Quote">
    <w:name w:val="Quote"/>
    <w:basedOn w:val="Normal"/>
    <w:next w:val="Normal"/>
    <w:link w:val="QuoteChar"/>
    <w:qFormat/>
    <w:rsid w:val="00017956"/>
    <w:pPr>
      <w:spacing w:before="200"/>
      <w:ind w:left="864" w:right="864"/>
      <w:jc w:val="center"/>
    </w:pPr>
    <w:rPr>
      <w:iCs/>
      <w:color w:val="0D0D0D" w:themeColor="text1" w:themeTint="F2"/>
    </w:rPr>
  </w:style>
  <w:style w:type="character" w:customStyle="1" w:styleId="QuoteChar">
    <w:name w:val="Quote Char"/>
    <w:basedOn w:val="DefaultParagraphFont"/>
    <w:link w:val="Quote"/>
    <w:rsid w:val="00017956"/>
    <w:rPr>
      <w:iCs/>
      <w:color w:val="0D0D0D" w:themeColor="text1" w:themeTint="F2"/>
    </w:rPr>
  </w:style>
  <w:style w:type="character" w:customStyle="1" w:styleId="highlight">
    <w:name w:val="highlight"/>
    <w:basedOn w:val="DefaultParagraphFont"/>
    <w:rsid w:val="00017956"/>
  </w:style>
  <w:style w:type="character" w:styleId="Hyperlink">
    <w:name w:val="Hyperlink"/>
    <w:basedOn w:val="DefaultParagraphFont"/>
    <w:uiPriority w:val="99"/>
    <w:unhideWhenUsed/>
    <w:rsid w:val="00017956"/>
    <w:rPr>
      <w:color w:val="0563C1" w:themeColor="hyperlink"/>
      <w:u w:val="single"/>
    </w:rPr>
  </w:style>
  <w:style w:type="paragraph" w:customStyle="1" w:styleId="Afterquote">
    <w:name w:val="After quote"/>
    <w:basedOn w:val="Quote"/>
    <w:next w:val="Normal"/>
    <w:qFormat/>
    <w:rsid w:val="00017956"/>
    <w:pPr>
      <w:spacing w:before="0" w:after="0" w:line="240" w:lineRule="auto"/>
      <w:ind w:left="0" w:right="0"/>
      <w:jc w:val="right"/>
    </w:pPr>
    <w:rPr>
      <w:rFonts w:ascii="Times New Roman" w:eastAsia="SimSun" w:hAnsi="Times New Roman" w:cs="Times New Roman"/>
      <w:i/>
      <w:iCs w:val="0"/>
      <w:color w:val="auto"/>
      <w:sz w:val="20"/>
      <w:szCs w:val="20"/>
    </w:rPr>
  </w:style>
  <w:style w:type="paragraph" w:customStyle="1" w:styleId="StyleQuoteTimesNewRoman1">
    <w:name w:val="Style Quote + Times New Roman1"/>
    <w:basedOn w:val="Quote"/>
    <w:next w:val="Afterquote"/>
    <w:link w:val="StyleQuoteTimesNewRoman1Char"/>
    <w:rsid w:val="00017956"/>
    <w:pPr>
      <w:spacing w:before="0" w:after="0" w:line="240" w:lineRule="auto"/>
      <w:ind w:left="720" w:right="0"/>
      <w:jc w:val="both"/>
    </w:pPr>
    <w:rPr>
      <w:rFonts w:ascii="Times New Roman" w:eastAsia="SimSun" w:hAnsi="Times New Roman" w:cs="Times New Roman"/>
      <w:i/>
      <w:iCs w:val="0"/>
      <w:sz w:val="20"/>
      <w:szCs w:val="20"/>
    </w:rPr>
  </w:style>
  <w:style w:type="character" w:customStyle="1" w:styleId="StyleQuoteTimesNewRoman1Char">
    <w:name w:val="Style Quote + Times New Roman1 Char"/>
    <w:basedOn w:val="QuoteChar"/>
    <w:link w:val="StyleQuoteTimesNewRoman1"/>
    <w:rsid w:val="00017956"/>
    <w:rPr>
      <w:rFonts w:ascii="Times New Roman" w:eastAsia="SimSun" w:hAnsi="Times New Roman" w:cs="Times New Roman"/>
      <w:i/>
      <w:iCs w:val="0"/>
      <w:color w:val="0D0D0D" w:themeColor="text1" w:themeTint="F2"/>
      <w:sz w:val="20"/>
      <w:szCs w:val="20"/>
    </w:rPr>
  </w:style>
  <w:style w:type="paragraph" w:styleId="FootnoteText">
    <w:name w:val="footnote text"/>
    <w:basedOn w:val="Normal"/>
    <w:link w:val="FootnoteTextChar"/>
    <w:uiPriority w:val="99"/>
    <w:semiHidden/>
    <w:unhideWhenUsed/>
    <w:rsid w:val="0001795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17956"/>
    <w:rPr>
      <w:sz w:val="20"/>
      <w:szCs w:val="20"/>
    </w:rPr>
  </w:style>
  <w:style w:type="paragraph" w:styleId="Header">
    <w:name w:val="header"/>
    <w:basedOn w:val="Normal"/>
    <w:link w:val="HeaderChar"/>
    <w:uiPriority w:val="99"/>
    <w:unhideWhenUsed/>
    <w:rsid w:val="000179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017956"/>
  </w:style>
  <w:style w:type="paragraph" w:styleId="Footer">
    <w:name w:val="footer"/>
    <w:basedOn w:val="Normal"/>
    <w:link w:val="FooterChar"/>
    <w:uiPriority w:val="99"/>
    <w:unhideWhenUsed/>
    <w:rsid w:val="000179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17956"/>
  </w:style>
  <w:style w:type="character" w:customStyle="1" w:styleId="BalloonTextChar">
    <w:name w:val="Balloon Text Char"/>
    <w:basedOn w:val="DefaultParagraphFont"/>
    <w:link w:val="BalloonText"/>
    <w:uiPriority w:val="99"/>
    <w:semiHidden/>
    <w:rsid w:val="00017956"/>
    <w:rPr>
      <w:rFonts w:ascii="Segoe UI" w:hAnsi="Segoe UI" w:cs="Segoe UI"/>
      <w:sz w:val="18"/>
      <w:szCs w:val="18"/>
    </w:rPr>
  </w:style>
  <w:style w:type="paragraph" w:styleId="BalloonText">
    <w:name w:val="Balloon Text"/>
    <w:basedOn w:val="Normal"/>
    <w:link w:val="BalloonTextChar"/>
    <w:uiPriority w:val="99"/>
    <w:semiHidden/>
    <w:unhideWhenUsed/>
    <w:rsid w:val="00017956"/>
    <w:pPr>
      <w:spacing w:after="0" w:line="240" w:lineRule="auto"/>
    </w:pPr>
    <w:rPr>
      <w:rFonts w:ascii="Segoe UI" w:hAnsi="Segoe UI" w:cs="Segoe UI"/>
      <w:sz w:val="18"/>
      <w:szCs w:val="18"/>
    </w:rPr>
  </w:style>
  <w:style w:type="character" w:customStyle="1" w:styleId="CommentTextChar">
    <w:name w:val="Comment Text Char"/>
    <w:basedOn w:val="DefaultParagraphFont"/>
    <w:link w:val="CommentText"/>
    <w:uiPriority w:val="99"/>
    <w:semiHidden/>
    <w:rsid w:val="00017956"/>
    <w:rPr>
      <w:sz w:val="20"/>
      <w:szCs w:val="20"/>
    </w:rPr>
  </w:style>
  <w:style w:type="paragraph" w:styleId="CommentText">
    <w:name w:val="annotation text"/>
    <w:basedOn w:val="Normal"/>
    <w:link w:val="CommentTextChar"/>
    <w:uiPriority w:val="99"/>
    <w:semiHidden/>
    <w:unhideWhenUsed/>
    <w:rsid w:val="00017956"/>
    <w:pPr>
      <w:spacing w:line="240" w:lineRule="auto"/>
    </w:pPr>
    <w:rPr>
      <w:sz w:val="20"/>
      <w:szCs w:val="20"/>
    </w:rPr>
  </w:style>
  <w:style w:type="character" w:customStyle="1" w:styleId="CommentSubjectChar">
    <w:name w:val="Comment Subject Char"/>
    <w:basedOn w:val="CommentTextChar"/>
    <w:link w:val="CommentSubject"/>
    <w:uiPriority w:val="99"/>
    <w:semiHidden/>
    <w:rsid w:val="00017956"/>
    <w:rPr>
      <w:b/>
      <w:bCs/>
      <w:sz w:val="20"/>
      <w:szCs w:val="20"/>
    </w:rPr>
  </w:style>
  <w:style w:type="paragraph" w:styleId="CommentSubject">
    <w:name w:val="annotation subject"/>
    <w:basedOn w:val="CommentText"/>
    <w:next w:val="CommentText"/>
    <w:link w:val="CommentSubjectChar"/>
    <w:uiPriority w:val="99"/>
    <w:semiHidden/>
    <w:unhideWhenUsed/>
    <w:rsid w:val="00017956"/>
    <w:rPr>
      <w:b/>
      <w:bCs/>
    </w:rPr>
  </w:style>
  <w:style w:type="character" w:customStyle="1" w:styleId="title-text">
    <w:name w:val="title-text"/>
    <w:basedOn w:val="DefaultParagraphFont"/>
    <w:rsid w:val="00017956"/>
  </w:style>
  <w:style w:type="character" w:customStyle="1" w:styleId="sr-only">
    <w:name w:val="sr-only"/>
    <w:basedOn w:val="DefaultParagraphFont"/>
    <w:rsid w:val="00017956"/>
  </w:style>
  <w:style w:type="character" w:customStyle="1" w:styleId="text">
    <w:name w:val="text"/>
    <w:basedOn w:val="DefaultParagraphFont"/>
    <w:rsid w:val="00017956"/>
  </w:style>
  <w:style w:type="character" w:customStyle="1" w:styleId="author-ref">
    <w:name w:val="author-ref"/>
    <w:basedOn w:val="DefaultParagraphFont"/>
    <w:rsid w:val="00017956"/>
  </w:style>
  <w:style w:type="paragraph" w:customStyle="1" w:styleId="para">
    <w:name w:val="para"/>
    <w:basedOn w:val="Normal"/>
    <w:rsid w:val="0001795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rticlelocatiospann">
    <w:name w:val="articlelocatio&lt;/span&gt;n"/>
    <w:basedOn w:val="DefaultParagraphFont"/>
    <w:rsid w:val="00017956"/>
  </w:style>
  <w:style w:type="character" w:customStyle="1" w:styleId="newsmetabyline">
    <w:name w:val="news__meta__byline"/>
    <w:basedOn w:val="DefaultParagraphFont"/>
    <w:rsid w:val="00017956"/>
  </w:style>
  <w:style w:type="paragraph" w:styleId="NormalWeb">
    <w:name w:val="Normal (Web)"/>
    <w:basedOn w:val="Normal"/>
    <w:unhideWhenUsed/>
    <w:rsid w:val="0001795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oduletitlelink">
    <w:name w:val="module__title__link"/>
    <w:basedOn w:val="DefaultParagraphFont"/>
    <w:rsid w:val="00017956"/>
  </w:style>
  <w:style w:type="table" w:styleId="TableGrid">
    <w:name w:val="Table Grid"/>
    <w:basedOn w:val="TableNormal"/>
    <w:rsid w:val="00017956"/>
    <w:pPr>
      <w:spacing w:after="0" w:line="360" w:lineRule="auto"/>
      <w:ind w:firstLine="720"/>
      <w:jc w:val="both"/>
    </w:pPr>
    <w:rPr>
      <w:rFonts w:ascii="Times New Roman" w:eastAsia="SimSu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17956"/>
    <w:pPr>
      <w:autoSpaceDE w:val="0"/>
      <w:autoSpaceDN w:val="0"/>
      <w:adjustRightInd w:val="0"/>
      <w:spacing w:after="0" w:line="240" w:lineRule="auto"/>
    </w:pPr>
    <w:rPr>
      <w:rFonts w:ascii="Calibri" w:eastAsia="Calibri" w:hAnsi="Calibri" w:cs="Calibri"/>
      <w:color w:val="000000"/>
      <w:sz w:val="24"/>
      <w:szCs w:val="24"/>
    </w:rPr>
  </w:style>
  <w:style w:type="character" w:customStyle="1" w:styleId="ilfuvd">
    <w:name w:val="ilfuvd"/>
    <w:basedOn w:val="DefaultParagraphFont"/>
    <w:rsid w:val="00017956"/>
  </w:style>
  <w:style w:type="character" w:styleId="Emphasis">
    <w:name w:val="Emphasis"/>
    <w:basedOn w:val="DefaultParagraphFont"/>
    <w:uiPriority w:val="20"/>
    <w:qFormat/>
    <w:rsid w:val="00017956"/>
    <w:rPr>
      <w:i/>
      <w:iCs/>
    </w:rPr>
  </w:style>
  <w:style w:type="character" w:customStyle="1" w:styleId="a-list-item">
    <w:name w:val="a-list-item"/>
    <w:basedOn w:val="DefaultParagraphFont"/>
    <w:rsid w:val="00017956"/>
  </w:style>
  <w:style w:type="paragraph" w:styleId="BodyTextIndent2">
    <w:name w:val="Body Text Indent 2"/>
    <w:basedOn w:val="Normal"/>
    <w:link w:val="BodyTextIndent2Char"/>
    <w:uiPriority w:val="99"/>
    <w:rsid w:val="00017956"/>
    <w:pPr>
      <w:tabs>
        <w:tab w:val="left" w:pos="-1447"/>
        <w:tab w:val="left" w:pos="-727"/>
        <w:tab w:val="left" w:pos="-7"/>
        <w:tab w:val="left" w:pos="255"/>
        <w:tab w:val="left" w:pos="525"/>
        <w:tab w:val="left" w:pos="795"/>
        <w:tab w:val="left" w:pos="1433"/>
        <w:tab w:val="left" w:pos="2153"/>
        <w:tab w:val="left" w:pos="2873"/>
        <w:tab w:val="left" w:pos="3593"/>
        <w:tab w:val="left" w:pos="4313"/>
        <w:tab w:val="left" w:pos="5033"/>
        <w:tab w:val="left" w:pos="5753"/>
      </w:tabs>
      <w:autoSpaceDE w:val="0"/>
      <w:autoSpaceDN w:val="0"/>
      <w:adjustRightInd w:val="0"/>
      <w:spacing w:after="0" w:line="240" w:lineRule="auto"/>
      <w:ind w:left="-7"/>
      <w:jc w:val="both"/>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uiPriority w:val="99"/>
    <w:rsid w:val="00017956"/>
    <w:rPr>
      <w:rFonts w:ascii="Times New Roman" w:eastAsia="Times New Roman" w:hAnsi="Times New Roman" w:cs="Times New Roman"/>
      <w:sz w:val="24"/>
      <w:szCs w:val="24"/>
    </w:rPr>
  </w:style>
  <w:style w:type="character" w:styleId="HTMLCite">
    <w:name w:val="HTML Cite"/>
    <w:basedOn w:val="DefaultParagraphFont"/>
    <w:uiPriority w:val="99"/>
    <w:semiHidden/>
    <w:unhideWhenUsed/>
    <w:rsid w:val="00017956"/>
    <w:rPr>
      <w:i/>
      <w:iCs/>
    </w:rPr>
  </w:style>
  <w:style w:type="character" w:styleId="Strong">
    <w:name w:val="Strong"/>
    <w:basedOn w:val="DefaultParagraphFont"/>
    <w:uiPriority w:val="22"/>
    <w:qFormat/>
    <w:rsid w:val="00017956"/>
    <w:rPr>
      <w:b/>
      <w:bCs/>
    </w:rPr>
  </w:style>
  <w:style w:type="character" w:customStyle="1" w:styleId="issue-heading">
    <w:name w:val="issue-heading"/>
    <w:basedOn w:val="DefaultParagraphFont"/>
    <w:rsid w:val="00017956"/>
  </w:style>
  <w:style w:type="character" w:customStyle="1" w:styleId="Subtitle1">
    <w:name w:val="Subtitle1"/>
    <w:basedOn w:val="DefaultParagraphFont"/>
    <w:rsid w:val="00017956"/>
  </w:style>
  <w:style w:type="paragraph" w:styleId="ListParagraph">
    <w:name w:val="List Paragraph"/>
    <w:basedOn w:val="Normal"/>
    <w:uiPriority w:val="34"/>
    <w:qFormat/>
    <w:rsid w:val="00017956"/>
    <w:pPr>
      <w:ind w:left="720"/>
      <w:contextualSpacing/>
    </w:pPr>
  </w:style>
  <w:style w:type="character" w:customStyle="1" w:styleId="apple-style-span">
    <w:name w:val="apple-style-span"/>
    <w:basedOn w:val="DefaultParagraphFont"/>
    <w:rsid w:val="00017956"/>
  </w:style>
  <w:style w:type="character" w:styleId="PlaceholderText">
    <w:name w:val="Placeholder Text"/>
    <w:basedOn w:val="DefaultParagraphFont"/>
    <w:uiPriority w:val="99"/>
    <w:semiHidden/>
    <w:rsid w:val="00017956"/>
    <w:rPr>
      <w:color w:val="808080"/>
    </w:rPr>
  </w:style>
  <w:style w:type="character" w:customStyle="1" w:styleId="workmeta-detail">
    <w:name w:val="workmeta-detail"/>
    <w:basedOn w:val="DefaultParagraphFont"/>
    <w:rsid w:val="00017956"/>
  </w:style>
  <w:style w:type="paragraph" w:styleId="BodyTextIndent">
    <w:name w:val="Body Text Indent"/>
    <w:basedOn w:val="Normal"/>
    <w:link w:val="BodyTextIndentChar"/>
    <w:uiPriority w:val="99"/>
    <w:semiHidden/>
    <w:unhideWhenUsed/>
    <w:rsid w:val="00017956"/>
    <w:pPr>
      <w:spacing w:after="120"/>
      <w:ind w:left="360"/>
    </w:pPr>
  </w:style>
  <w:style w:type="character" w:customStyle="1" w:styleId="BodyTextIndentChar">
    <w:name w:val="Body Text Indent Char"/>
    <w:basedOn w:val="DefaultParagraphFont"/>
    <w:link w:val="BodyTextIndent"/>
    <w:uiPriority w:val="99"/>
    <w:semiHidden/>
    <w:rsid w:val="00017956"/>
  </w:style>
  <w:style w:type="character" w:customStyle="1" w:styleId="js-about-item-abstr">
    <w:name w:val="js-about-item-abstr"/>
    <w:basedOn w:val="DefaultParagraphFont"/>
    <w:rsid w:val="00017956"/>
  </w:style>
  <w:style w:type="character" w:styleId="CommentReference">
    <w:name w:val="annotation reference"/>
    <w:basedOn w:val="DefaultParagraphFont"/>
    <w:uiPriority w:val="99"/>
    <w:semiHidden/>
    <w:unhideWhenUsed/>
    <w:rsid w:val="00391BFB"/>
    <w:rPr>
      <w:sz w:val="16"/>
      <w:szCs w:val="16"/>
    </w:rPr>
  </w:style>
  <w:style w:type="character" w:customStyle="1" w:styleId="monotitle">
    <w:name w:val="monotitle"/>
    <w:basedOn w:val="DefaultParagraphFont"/>
    <w:rsid w:val="00902E8C"/>
  </w:style>
  <w:style w:type="character" w:customStyle="1" w:styleId="rend-italic">
    <w:name w:val="rend-italic"/>
    <w:basedOn w:val="DefaultParagraphFont"/>
    <w:rsid w:val="00902E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osalux.de/en/publication/id/41284/modern-monetary-theory-a-tool-for-the-global-south/" TargetMode="External"/><Relationship Id="rId3" Type="http://schemas.openxmlformats.org/officeDocument/2006/relationships/styles" Target="styles.xml"/><Relationship Id="rId7" Type="http://schemas.openxmlformats.org/officeDocument/2006/relationships/hyperlink" Target="https://www.jacobinmag.com/2019/02/modern-monetary-theory-isnt-helping"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moslereconomics.com/wp-content/uploads/2020/11/Weimar-Republic-Hyperinflation-through-a-Modern-Monetary-Theory-Lens.pdf"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papers.ssrn.com/sol3/papers.cfm?abstract_id=3906049" TargetMode="External"/><Relationship Id="rId4" Type="http://schemas.openxmlformats.org/officeDocument/2006/relationships/settings" Target="settings.xml"/><Relationship Id="rId9" Type="http://schemas.openxmlformats.org/officeDocument/2006/relationships/hyperlink" Target="https://prospect.org/culture/books/mmt-can-we-create-all-the-money-we-ne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90A9EA-A306-426B-AC05-7196ACE3A5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13</Pages>
  <Words>6875</Words>
  <Characters>39188</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
    </vt:vector>
  </TitlesOfParts>
  <Company>Lewis &amp; Clark College</Company>
  <LinksUpToDate>false</LinksUpToDate>
  <CharactersWithSpaces>45972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Tymoigne</dc:creator>
  <cp:keywords/>
  <dc:description/>
  <cp:lastModifiedBy>Eric Tymoigne</cp:lastModifiedBy>
  <cp:revision>16</cp:revision>
  <cp:lastPrinted>2021-12-03T20:35:00Z</cp:lastPrinted>
  <dcterms:created xsi:type="dcterms:W3CDTF">2021-11-30T23:04:00Z</dcterms:created>
  <dcterms:modified xsi:type="dcterms:W3CDTF">2021-12-07T22:37:00Z</dcterms:modified>
</cp:coreProperties>
</file>